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/>
        <w:jc w:val="both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ascii="黑体" w:hAnsi="黑体" w:eastAsia="黑体" w:cs="黑体"/>
          <w:color w:val="auto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重点保供超市、品牌连锁便利店发展项目申报指南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ascii="仿宋_GB2312" w:hAnsi="仿宋_GB2312" w:eastAsia="仿宋_GB2312" w:cs="仿宋_GB2312"/>
          <w:b w:val="0"/>
          <w:color w:val="auto"/>
          <w:kern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一、支持方向和内容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鼓励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重点保供超市为提升生活必需品采购、存储、配送能力而开展的软硬件及相应设施改造、设备投入以及新开门店相应的投入。应急情况下，可保障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20天以上生活必需品供应的储备量，有配送周边5公里范围内居民的配送能力。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与上年相比，生活必需品供应渠道更加稳定。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（二）鼓励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品牌连锁便利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店新建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直营门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店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或改造升级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，支持装修、软硬件设备购置等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鼓励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重点保供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超市和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品牌连锁便利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店新建或改造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配送中心，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为群众商品、服务消费提供良好保障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</w:rPr>
        <w:t>鼓励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重点保供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超市和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品牌连锁便利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店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开展数字化赋能转型。推动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/>
        </w:rPr>
        <w:t>5G、物联网、大数据、云计算等新技术在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门店科学布局、商品服务供给、场景策划、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/>
        </w:rPr>
        <w:t>线上线下融合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/>
        </w:rPr>
        <w:t>运营、购销渠道管理等方面的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应用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</w:rPr>
        <w:t>鼓励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重点保供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超市和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品牌连锁便利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店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推广集采集配、统仓统配、前置仓、反向定制、自动订货、智能盘点等新模式，促进商产联动、产销适配、降本增效。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</w:rPr>
        <w:t>鼓励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重点保供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超市和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品牌连锁便利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店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适应疫情防控常态化需要，发展智能储物柜、自助租赁设备等无接触交易创新模式，创建智慧商店。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（七）鼓励重点保供超市、便利店延长营业时间，开设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/>
        </w:rPr>
        <w:t>24小时便利店；鼓励便利店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搭载简餐制售、乙类非处方药经营、出版物销售、生活缴费、打印复印、洗衣家政等便民服务。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申报要求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</w:rPr>
        <w:t>申报项目的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  <w:lang w:eastAsia="zh-CN"/>
        </w:rPr>
        <w:t>重点保供超市、品牌连锁便利店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</w:rPr>
        <w:t>应具有良好的品牌影响力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（二）申报企业所提交的项目支出费用必须为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2020年4月1日以后发生，符合项目支持方向和内容。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  <w:lang w:eastAsia="zh-CN"/>
        </w:rPr>
        <w:t>（三）新建门店指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</w:rPr>
        <w:t>月1日以后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FFFFFF"/>
          <w:lang w:eastAsia="zh-CN"/>
        </w:rPr>
        <w:t>投资建设并取得营业执照。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加盟店建设费用中由加盟商支付的费用不得列入项目支出费用。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/>
        <w:jc w:val="both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（四）落实商贸流通领域安全生产相关规定，未发生重大安全事故；常态化疫情防控期间，积极落实有关防控措施。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（五）认真落实塑料污染治理有关规定，规范使用一次性塑料购物袋，积极推广应用无纺织购物袋等替代产品。未按要求报送一次性塑料制品使用、报告的企业，不予申报。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eastAsia="zh-CN"/>
        </w:rPr>
        <w:t>（六）在绿色商场创建、重点企业联系机制建立等工作中成效突出的，优先予以考虑。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三、支持标准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  <w:lang w:eastAsia="zh-CN"/>
        </w:rPr>
        <w:t>以奖代补项目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支持资金原则上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eastAsia="zh-CN"/>
        </w:rPr>
        <w:t>每个不低于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30万元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3BCF"/>
    <w:rsid w:val="0E1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2021-07-29T07:18:00Z</dcterms:created>
  <dc:creator>hp</dc:creator>
  <cp:lastModifiedBy>hp</cp:lastModifiedBy>
  <dcterms:modified xsi:type="dcterms:W3CDTF">2021-07-29T07:19:39Z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