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val="0"/>
          <w:sz w:val="44"/>
          <w:szCs w:val="44"/>
          <w:lang w:eastAsia="zh-CN"/>
        </w:rPr>
      </w:pPr>
      <w:r>
        <w:rPr>
          <w:rFonts w:hint="eastAsia" w:ascii="方正小标宋简体" w:hAnsi="方正小标宋简体" w:eastAsia="方正小标宋简体" w:cs="方正小标宋简体"/>
          <w:b/>
          <w:bCs w:val="0"/>
          <w:sz w:val="44"/>
          <w:szCs w:val="44"/>
        </w:rPr>
        <w:t>白银市平川区</w:t>
      </w:r>
      <w:r>
        <w:rPr>
          <w:rFonts w:hint="eastAsia" w:ascii="方正小标宋简体" w:hAnsi="方正小标宋简体" w:eastAsia="方正小标宋简体" w:cs="方正小标宋简体"/>
          <w:b/>
          <w:bCs w:val="0"/>
          <w:sz w:val="44"/>
          <w:szCs w:val="44"/>
          <w:lang w:eastAsia="zh-CN"/>
        </w:rPr>
        <w:t>人民政府办公室</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rPr>
        <w:t>201</w:t>
      </w:r>
      <w:r>
        <w:rPr>
          <w:rFonts w:hint="eastAsia" w:ascii="方正小标宋简体" w:hAnsi="方正小标宋简体" w:eastAsia="方正小标宋简体" w:cs="方正小标宋简体"/>
          <w:b/>
          <w:bCs w:val="0"/>
          <w:sz w:val="44"/>
          <w:szCs w:val="44"/>
          <w:lang w:val="en-US" w:eastAsia="zh-CN"/>
        </w:rPr>
        <w:t>9</w:t>
      </w:r>
      <w:r>
        <w:rPr>
          <w:rFonts w:hint="eastAsia" w:ascii="方正小标宋简体" w:hAnsi="方正小标宋简体" w:eastAsia="方正小标宋简体" w:cs="方正小标宋简体"/>
          <w:b/>
          <w:bCs w:val="0"/>
          <w:sz w:val="44"/>
          <w:szCs w:val="44"/>
        </w:rPr>
        <w:t>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210" w:afterAutospacing="0" w:line="495" w:lineRule="atLeast"/>
        <w:ind w:left="300" w:right="300" w:firstLine="420"/>
        <w:rPr>
          <w:rFonts w:hint="eastAsia" w:ascii="仿宋" w:hAnsi="仿宋" w:eastAsia="仿宋" w:cs="仿宋"/>
          <w:sz w:val="32"/>
          <w:szCs w:val="32"/>
        </w:rPr>
      </w:pPr>
      <w:r>
        <w:rPr>
          <w:rFonts w:hint="eastAsia" w:ascii="仿宋" w:hAnsi="仿宋" w:eastAsia="仿宋" w:cs="仿宋"/>
          <w:i w:val="0"/>
          <w:caps w:val="0"/>
          <w:color w:val="222222"/>
          <w:spacing w:val="0"/>
          <w:sz w:val="32"/>
          <w:szCs w:val="32"/>
        </w:rPr>
        <w:t>2019年，平川区认真学习新修订的《中华人民共和国政府信息公开条例》，深入贯彻落实中共中央办公厅、国务院、省、市关于全面推进政务公开工作的有关精神及国务院、省、市《2019年政务公开工作要点的通知》和有关政府信息公开和依申请公开工作要求，加大主动公开、政策解读、回应关切力度，深化重点领域信息公开，完善政务公开制度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210" w:afterAutospacing="0" w:line="495" w:lineRule="atLeast"/>
        <w:ind w:left="300" w:right="300" w:firstLine="420"/>
        <w:rPr>
          <w:rFonts w:hint="eastAsia" w:ascii="仿宋" w:hAnsi="仿宋" w:eastAsia="仿宋" w:cs="仿宋"/>
          <w:sz w:val="32"/>
          <w:szCs w:val="32"/>
        </w:rPr>
      </w:pPr>
      <w:r>
        <w:rPr>
          <w:rFonts w:hint="eastAsia" w:ascii="仿宋" w:hAnsi="仿宋" w:eastAsia="仿宋" w:cs="仿宋"/>
          <w:i w:val="0"/>
          <w:caps w:val="0"/>
          <w:color w:val="222222"/>
          <w:spacing w:val="0"/>
          <w:sz w:val="32"/>
          <w:szCs w:val="32"/>
        </w:rPr>
        <w:t>根据新修订的《中华人民共和国政府信息公开条例》和中央、省、市《关于2019年政府信息公开工作年度报告有关事项的通知》的要求，现公布平川区2019年度政府信息公开工作年度报告。数据统计期限为2019年1月1日至2019年12月31日。登陆平川区人民政府门户网（www.bypc.gov.cn） “政务公开”栏目可查阅、下载本报告电子版，如对本报告有任何疑问，请联系平川区电子政务办公室，电话：0943-6670169，电子邮箱：pcqzwgk@126.com。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210" w:afterAutospacing="0" w:line="495" w:lineRule="atLeast"/>
        <w:ind w:left="300" w:right="300" w:firstLine="420"/>
        <w:rPr>
          <w:rFonts w:hint="eastAsia" w:ascii="黑体" w:hAnsi="黑体" w:eastAsia="黑体" w:cs="黑体"/>
          <w:sz w:val="32"/>
          <w:szCs w:val="32"/>
        </w:rPr>
      </w:pPr>
      <w:r>
        <w:rPr>
          <w:rFonts w:hint="eastAsia" w:ascii="黑体" w:hAnsi="黑体" w:eastAsia="黑体" w:cs="黑体"/>
          <w:i w:val="0"/>
          <w:caps w:val="0"/>
          <w:color w:val="222222"/>
          <w:spacing w:val="0"/>
          <w:sz w:val="32"/>
          <w:szCs w:val="32"/>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210" w:afterAutospacing="0" w:line="495" w:lineRule="atLeast"/>
        <w:ind w:left="300" w:right="300" w:firstLine="420"/>
        <w:rPr>
          <w:rFonts w:hint="eastAsia" w:ascii="仿宋" w:hAnsi="仿宋" w:eastAsia="仿宋" w:cs="仿宋"/>
          <w:sz w:val="32"/>
          <w:szCs w:val="32"/>
        </w:rPr>
      </w:pPr>
      <w:r>
        <w:rPr>
          <w:rFonts w:hint="eastAsia" w:ascii="楷体" w:hAnsi="楷体" w:eastAsia="楷体" w:cs="楷体"/>
          <w:b/>
          <w:bCs/>
          <w:i w:val="0"/>
          <w:caps w:val="0"/>
          <w:color w:val="222222"/>
          <w:spacing w:val="0"/>
          <w:sz w:val="32"/>
          <w:szCs w:val="32"/>
        </w:rPr>
        <w:t>（一）强化组织和制度保障。</w:t>
      </w:r>
      <w:r>
        <w:rPr>
          <w:rFonts w:hint="eastAsia" w:ascii="仿宋" w:hAnsi="仿宋" w:eastAsia="仿宋" w:cs="仿宋"/>
          <w:i w:val="0"/>
          <w:caps w:val="0"/>
          <w:color w:val="222222"/>
          <w:spacing w:val="0"/>
          <w:sz w:val="32"/>
          <w:szCs w:val="32"/>
        </w:rPr>
        <w:t>1、为使政府信息公开工作扎实推进，平川区高度重视政府信息公开工作，将其列入重要工作日程。根据机构设置、人员变动、工作需要，平川区政府对区政务公开工作领导小组组成单位和人员进行了调整（平政办发〔2019〕154号），明确了各成员单位的工作职责和任务分工。2、为了进一步加强和规范政府信息公开情况统计报送工作，区政府印发文件，建立指标统一、项目规范、口径一致、数据准确的政府信息公开情况统计报送制度。按照省、市要求印发了《平川区2019年政务公开工作要点》，大力推进决策、执行、管理、服务、结果公开。3、为加强网站安全管理和政务公开力度，聘请了第三方公司负责监测评估，同时加大政务公开考核力度，把政府信息公开工作纳入各单位年度目标绩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210" w:afterAutospacing="0" w:line="495" w:lineRule="atLeast"/>
        <w:ind w:left="300" w:right="300" w:firstLine="420"/>
        <w:rPr>
          <w:rFonts w:hint="eastAsia" w:ascii="仿宋" w:hAnsi="仿宋" w:eastAsia="仿宋" w:cs="仿宋"/>
          <w:sz w:val="32"/>
          <w:szCs w:val="32"/>
        </w:rPr>
      </w:pPr>
      <w:r>
        <w:rPr>
          <w:rFonts w:hint="eastAsia" w:ascii="楷体" w:hAnsi="楷体" w:eastAsia="楷体" w:cs="楷体"/>
          <w:b/>
          <w:bCs/>
          <w:i w:val="0"/>
          <w:caps w:val="0"/>
          <w:color w:val="222222"/>
          <w:spacing w:val="0"/>
          <w:sz w:val="32"/>
          <w:szCs w:val="32"/>
        </w:rPr>
        <w:t>（二）强化工作落实。</w:t>
      </w:r>
      <w:r>
        <w:rPr>
          <w:rFonts w:hint="eastAsia" w:ascii="仿宋" w:hAnsi="仿宋" w:eastAsia="仿宋" w:cs="仿宋"/>
          <w:i w:val="0"/>
          <w:caps w:val="0"/>
          <w:color w:val="222222"/>
          <w:spacing w:val="0"/>
          <w:sz w:val="32"/>
          <w:szCs w:val="32"/>
        </w:rPr>
        <w:t>1、为了促进政府信息公开工作落实, 主要领导和分管领导先后多次就政务公开工作做出了明确的指示，对政务公开工作提出了具体的要求，同时积极召开平川区政务公开工作相关会议及推进会，研究讨论全区政府信息公开工作，细化丰富主动公开栏目、公开流程，积极推动区政务公开工作的深入开展。为完善工作制度，落实专人负责,加强督导检查，平川区印发了《关于对全区政务公开和政务服务工作落实情况进行督查的通知》，本年度组织相关人员到全区所辖乡镇和部门单位进行了实地督查指导。2、为从源头上更有效的推进我区政务公开工作制度化、标准化、规范化。提高全区政务公开工作人员业务能力水平，保障我区政务公开工作高效开展，区政府办公室组织对全区乡镇街道和所有相关部门单位，进行了一对一的政务公开业务指导培训，从理论上学习国务院新修订的公开条例和工作要点；从业务上对信息公开平台的相关操作做讲解；就依申请公开工作中需注意的问题及依照市政府的要求，就加强规范政策解读工作的要求做了详细说明，明确政务公开的目的、意义，全面的更改和规范发布流程，同时单独剖析各单位重点领域信息公开的个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210" w:afterAutospacing="0" w:line="495" w:lineRule="atLeast"/>
        <w:ind w:left="300" w:right="300" w:firstLine="420"/>
        <w:rPr>
          <w:rFonts w:hint="eastAsia" w:ascii="仿宋" w:hAnsi="仿宋" w:eastAsia="仿宋" w:cs="仿宋"/>
          <w:sz w:val="32"/>
          <w:szCs w:val="32"/>
        </w:rPr>
      </w:pPr>
      <w:r>
        <w:rPr>
          <w:rFonts w:hint="eastAsia" w:ascii="楷体" w:hAnsi="楷体" w:eastAsia="楷体" w:cs="楷体"/>
          <w:b/>
          <w:bCs/>
          <w:i w:val="0"/>
          <w:caps w:val="0"/>
          <w:color w:val="222222"/>
          <w:spacing w:val="0"/>
          <w:sz w:val="32"/>
          <w:szCs w:val="32"/>
        </w:rPr>
        <w:t>（三）强化重点领域信息公开。</w:t>
      </w:r>
      <w:r>
        <w:rPr>
          <w:rFonts w:hint="eastAsia" w:ascii="仿宋" w:hAnsi="仿宋" w:eastAsia="仿宋" w:cs="仿宋"/>
          <w:i w:val="0"/>
          <w:caps w:val="0"/>
          <w:color w:val="222222"/>
          <w:spacing w:val="0"/>
          <w:sz w:val="32"/>
          <w:szCs w:val="32"/>
        </w:rPr>
        <w:t>根据省、市关于政府网站集约化建设的要求，平川区政府印发《白银市平川区政府门户网站政务公开栏目内容维护责任分解表及重点领域信息维护标准》对各项任务进行逐项分解，细化任务内容，明确责任单位，明确责任分工，确保重点领域信息公开工作顺利开展。一是及时公布权力清单、责任清单，为保障群众及时查看了解，设置公共服务、公共资源配置、住房公积金公开相关指南和目录信息，二是行政权力信息公开规范，在重点领域下要求有关部门单位及时公开，扶贫项目及扶贫资金的分配、强农惠农、土地征收、房屋征收与补偿、保障房建设、棚户区改造、医保信息、教育信息、就业创业信息、公共设施及文化建设、环保信息等涉及民生问题的相关信息，并保证信息准确完善，方便民众了解相关政策内容。三是及时公开财政预决算、财政收支和“三公”经费信息，接受公众监督。完善人大代表建议和政协委员提案办理制度，并将建议和议案办理结果在政府门户网站公布，接受社会各界监督。全区行政职权、重点项目、人事任免、财务收支、专项资金、应急管理、社会事业、便民服务等事关民生的主动公开事项，日常化的主动信息公开机制基本形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210" w:afterAutospacing="0" w:line="495" w:lineRule="atLeast"/>
        <w:ind w:left="300" w:right="300" w:firstLine="420"/>
        <w:rPr>
          <w:rFonts w:hint="eastAsia" w:ascii="黑体" w:hAnsi="黑体" w:eastAsia="黑体" w:cs="黑体"/>
          <w:i w:val="0"/>
          <w:caps w:val="0"/>
          <w:color w:val="222222"/>
          <w:spacing w:val="0"/>
          <w:sz w:val="32"/>
          <w:szCs w:val="32"/>
        </w:rPr>
      </w:pPr>
      <w:r>
        <w:rPr>
          <w:rFonts w:hint="eastAsia" w:ascii="黑体" w:hAnsi="黑体" w:eastAsia="黑体" w:cs="黑体"/>
          <w:i w:val="0"/>
          <w:caps w:val="0"/>
          <w:color w:val="222222"/>
          <w:spacing w:val="0"/>
          <w:sz w:val="32"/>
          <w:szCs w:val="32"/>
        </w:rPr>
        <w:t>二、主动公开政府信息情况：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210" w:afterAutospacing="0" w:line="495" w:lineRule="atLeast"/>
        <w:ind w:left="300" w:right="300" w:firstLine="420"/>
        <w:rPr>
          <w:rFonts w:hint="eastAsia" w:ascii="仿宋" w:hAnsi="仿宋" w:eastAsia="仿宋" w:cs="仿宋"/>
          <w:sz w:val="32"/>
          <w:szCs w:val="32"/>
        </w:rPr>
      </w:pPr>
      <w:r>
        <w:rPr>
          <w:rFonts w:hint="eastAsia" w:ascii="仿宋" w:hAnsi="仿宋" w:eastAsia="仿宋" w:cs="仿宋"/>
          <w:i w:val="0"/>
          <w:caps w:val="0"/>
          <w:color w:val="222222"/>
          <w:spacing w:val="0"/>
          <w:sz w:val="32"/>
          <w:szCs w:val="32"/>
        </w:rPr>
        <w:t>本报告所涉及主动公开政府信息主要利用平川区人民政府门户网站、甘肃省政务服务网平川子站、新闻发布会以及微信公众号、今日头条等便于公众知晓的方式公开，2019年全区主动公开政府各类信息12580条。现场接待3073多人次，咨询电话接听4502多人次。共104268 人次通过网站查阅了区政府信息公开有关的信息。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210" w:afterAutospacing="0" w:line="495" w:lineRule="atLeast"/>
        <w:ind w:left="300" w:right="300" w:firstLine="420"/>
        <w:rPr>
          <w:rFonts w:hint="eastAsia" w:ascii="仿宋" w:hAnsi="仿宋" w:eastAsia="仿宋" w:cs="仿宋"/>
          <w:sz w:val="32"/>
          <w:szCs w:val="32"/>
        </w:rPr>
      </w:pPr>
      <w:r>
        <w:rPr>
          <w:rFonts w:hint="eastAsia" w:ascii="楷体" w:hAnsi="楷体" w:eastAsia="楷体" w:cs="楷体"/>
          <w:b/>
          <w:bCs/>
          <w:i w:val="0"/>
          <w:caps w:val="0"/>
          <w:color w:val="222222"/>
          <w:spacing w:val="0"/>
          <w:sz w:val="32"/>
          <w:szCs w:val="32"/>
        </w:rPr>
        <w:t>（一）权责清单信息公开情况。</w:t>
      </w:r>
      <w:r>
        <w:rPr>
          <w:rFonts w:hint="eastAsia" w:ascii="仿宋" w:hAnsi="仿宋" w:eastAsia="仿宋" w:cs="仿宋"/>
          <w:i w:val="0"/>
          <w:caps w:val="0"/>
          <w:color w:val="222222"/>
          <w:spacing w:val="0"/>
          <w:sz w:val="32"/>
          <w:szCs w:val="32"/>
        </w:rPr>
        <w:t>根据《白银市人民政府关于公布市级政府部门第二十批取消和承接行政审批事项的决定》（市政发〔2019〕138号）及时公布了区级政府部门第二十批取消调整行政审批项目等事项共5项。同时，我区充分发挥甘肃政务服务网平川子站作用，公布了全区44个乡镇街道和部门单位权力事项3206项(其中：行政许可384项、行政处罚1927项、行政强制124项、行政征收11项、行政给付26项、行政裁决5项、行政确认140项、行政奖励22项、行政监督60项、其他行政权力507项)、权利运行信息8744项，公共服务事项178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210" w:afterAutospacing="0" w:line="495" w:lineRule="atLeast"/>
        <w:ind w:left="300" w:right="300" w:firstLine="420"/>
        <w:rPr>
          <w:rFonts w:hint="eastAsia" w:ascii="仿宋" w:hAnsi="仿宋" w:eastAsia="仿宋" w:cs="仿宋"/>
          <w:sz w:val="32"/>
          <w:szCs w:val="32"/>
        </w:rPr>
      </w:pPr>
      <w:r>
        <w:rPr>
          <w:rFonts w:hint="eastAsia" w:ascii="楷体" w:hAnsi="楷体" w:eastAsia="楷体" w:cs="楷体"/>
          <w:b/>
          <w:bCs/>
          <w:i w:val="0"/>
          <w:caps w:val="0"/>
          <w:color w:val="222222"/>
          <w:spacing w:val="0"/>
          <w:sz w:val="32"/>
          <w:szCs w:val="32"/>
        </w:rPr>
        <w:t>（二）推进减税、降费、降低要素成本信息公开。</w:t>
      </w:r>
      <w:r>
        <w:rPr>
          <w:rFonts w:hint="eastAsia" w:ascii="仿宋" w:hAnsi="仿宋" w:eastAsia="仿宋" w:cs="仿宋"/>
          <w:i w:val="0"/>
          <w:caps w:val="0"/>
          <w:color w:val="222222"/>
          <w:spacing w:val="0"/>
          <w:sz w:val="32"/>
          <w:szCs w:val="32"/>
        </w:rPr>
        <w:t>2019年，区税务局享受各类备案类的增值税优惠政策户数是256户，免税收入84619.78万元，免征增值税2538.59万元。享受即征即退优惠政策户数4户，退付增值税税款410.63万元。享受小微企业优惠政策4685户，免税2021.95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210" w:afterAutospacing="0" w:line="495" w:lineRule="atLeast"/>
        <w:ind w:left="300" w:right="300" w:firstLine="420"/>
        <w:rPr>
          <w:rFonts w:hint="eastAsia" w:ascii="仿宋" w:hAnsi="仿宋" w:eastAsia="仿宋" w:cs="仿宋"/>
          <w:sz w:val="32"/>
          <w:szCs w:val="32"/>
        </w:rPr>
      </w:pPr>
      <w:r>
        <w:rPr>
          <w:rFonts w:hint="eastAsia" w:ascii="楷体" w:hAnsi="楷体" w:eastAsia="楷体" w:cs="楷体"/>
          <w:b/>
          <w:bCs/>
          <w:i w:val="0"/>
          <w:caps w:val="0"/>
          <w:color w:val="222222"/>
          <w:spacing w:val="0"/>
          <w:sz w:val="32"/>
          <w:szCs w:val="32"/>
        </w:rPr>
        <w:t>（三）重点领域信息公开大幅提高。</w:t>
      </w:r>
      <w:r>
        <w:rPr>
          <w:rFonts w:hint="eastAsia" w:ascii="仿宋" w:hAnsi="仿宋" w:eastAsia="仿宋" w:cs="仿宋"/>
          <w:i w:val="0"/>
          <w:caps w:val="0"/>
          <w:color w:val="222222"/>
          <w:spacing w:val="0"/>
          <w:sz w:val="32"/>
          <w:szCs w:val="32"/>
        </w:rPr>
        <w:t>2019年我区政府重点领域信息公开9216条。公开财政资金信息185条，公布专项资金和使用信息75条；扶贫项目信息及扶贫资金分配共计146条；公开环保信息57条；安全生产38条；突发公共事件及隐患预警信息55条；食品药品安全信息36条；医疗卫生信息43条；医保信息18条；科技领域信息19条；公共文化体育信息75条；公开公共资源配置信息182条；招标采购信息242条；公开公共监管信息 295条；市场主体信用与不良行为记录信息7339条。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210" w:afterAutospacing="0" w:line="495" w:lineRule="atLeast"/>
        <w:ind w:left="300" w:right="300" w:firstLine="420"/>
        <w:rPr>
          <w:rFonts w:hint="eastAsia" w:ascii="仿宋" w:hAnsi="仿宋" w:eastAsia="仿宋" w:cs="仿宋"/>
          <w:sz w:val="32"/>
          <w:szCs w:val="32"/>
        </w:rPr>
      </w:pPr>
      <w:r>
        <w:rPr>
          <w:rFonts w:hint="eastAsia" w:ascii="楷体" w:hAnsi="楷体" w:eastAsia="楷体" w:cs="楷体"/>
          <w:b/>
          <w:bCs/>
          <w:i w:val="0"/>
          <w:caps w:val="0"/>
          <w:color w:val="222222"/>
          <w:spacing w:val="0"/>
          <w:sz w:val="32"/>
          <w:szCs w:val="32"/>
        </w:rPr>
        <w:t>（四）政务新媒体运维管理情况。</w:t>
      </w:r>
      <w:r>
        <w:rPr>
          <w:rFonts w:hint="eastAsia" w:ascii="仿宋" w:hAnsi="仿宋" w:eastAsia="仿宋" w:cs="仿宋"/>
          <w:i w:val="0"/>
          <w:caps w:val="0"/>
          <w:color w:val="222222"/>
          <w:spacing w:val="0"/>
          <w:sz w:val="32"/>
          <w:szCs w:val="32"/>
        </w:rPr>
        <w:t>按照省、市政府信息公开办《关于做好政务新媒体工作的通知》要求，全面摸清本级政务新媒体底数，建立台账，汇总本级开设的政务新媒体（含APP、微信、微博、抖音、头条号）共61家，现正常运行维护的38家。组织人员参加了市电子政务办开展的政府系统政务新媒体建设业务培训会，提升了工作人员对政务新媒体在内容、分类形式、政策解读等方面的业务能力。按照“谁开设、谁主办”的原则负责管理运维，做好政务新媒体的更新，维护及监管工作。利用人工监测的方式强化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210" w:afterAutospacing="0" w:line="495" w:lineRule="atLeast"/>
        <w:ind w:left="300" w:right="300" w:firstLine="420"/>
        <w:rPr>
          <w:rFonts w:hint="eastAsia" w:ascii="仿宋" w:hAnsi="仿宋" w:eastAsia="仿宋" w:cs="仿宋"/>
          <w:sz w:val="32"/>
          <w:szCs w:val="32"/>
        </w:rPr>
      </w:pPr>
      <w:r>
        <w:rPr>
          <w:rFonts w:hint="eastAsia" w:ascii="楷体" w:hAnsi="楷体" w:eastAsia="楷体" w:cs="楷体"/>
          <w:b/>
          <w:bCs/>
          <w:i w:val="0"/>
          <w:caps w:val="0"/>
          <w:color w:val="222222"/>
          <w:spacing w:val="0"/>
          <w:sz w:val="32"/>
          <w:szCs w:val="32"/>
        </w:rPr>
        <w:t>（五）建议提案办理情况。</w:t>
      </w:r>
      <w:r>
        <w:rPr>
          <w:rFonts w:hint="eastAsia" w:ascii="仿宋" w:hAnsi="仿宋" w:eastAsia="仿宋" w:cs="仿宋"/>
          <w:i w:val="0"/>
          <w:caps w:val="0"/>
          <w:color w:val="222222"/>
          <w:spacing w:val="0"/>
          <w:sz w:val="32"/>
          <w:szCs w:val="32"/>
        </w:rPr>
        <w:t>人大建议办理方面，共收到人大建议62件，政协提案办理方面，共收到政协提案件78件。建议和提案均已全部办理完毕，答复率达100%。从人大代表和政协委员的回访情况和反馈情况来看，对人大建议和委员提案办理工作表示满意，对区政府各承办单位的工作措施和办理结果均给予了充分肯定，满意和基本满意率达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210" w:afterAutospacing="0" w:line="495" w:lineRule="atLeast"/>
        <w:ind w:left="300" w:right="300" w:firstLine="420"/>
        <w:rPr>
          <w:rFonts w:hint="eastAsia" w:ascii="仿宋" w:hAnsi="仿宋" w:eastAsia="仿宋" w:cs="仿宋"/>
          <w:sz w:val="32"/>
          <w:szCs w:val="32"/>
        </w:rPr>
      </w:pPr>
      <w:r>
        <w:rPr>
          <w:rFonts w:hint="eastAsia" w:ascii="楷体" w:hAnsi="楷体" w:eastAsia="楷体" w:cs="楷体"/>
          <w:b/>
          <w:bCs/>
          <w:i w:val="0"/>
          <w:caps w:val="0"/>
          <w:color w:val="222222"/>
          <w:spacing w:val="0"/>
          <w:sz w:val="32"/>
          <w:szCs w:val="32"/>
        </w:rPr>
        <w:t>（六）开展政策解读情况。</w:t>
      </w:r>
      <w:r>
        <w:rPr>
          <w:rFonts w:hint="eastAsia" w:ascii="仿宋" w:hAnsi="仿宋" w:eastAsia="仿宋" w:cs="仿宋"/>
          <w:i w:val="0"/>
          <w:caps w:val="0"/>
          <w:color w:val="222222"/>
          <w:spacing w:val="0"/>
          <w:sz w:val="32"/>
          <w:szCs w:val="32"/>
        </w:rPr>
        <w:t>根据国务院、省、市推进政务公开工作的部署和要求，加强和规范全区政策解读工作，明确解读责任、范围，丰富解读形式。做好国务院和省政府重要政策信息转载工作，转载“中国政府网”和“中国•甘肃”门户网站发布的对全局工作有指导意义、需要社会广泛知晓的重要政策信息总计179次，按照市政办的文件要求，同时为进一步加强和规范我区政策解读工作，做好解读材料与文件相互关联，截止目前，区各级领导解读有关政策文件25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210" w:afterAutospacing="0" w:line="495" w:lineRule="atLeast"/>
        <w:ind w:left="300" w:right="300" w:firstLine="420"/>
        <w:rPr>
          <w:rFonts w:hint="eastAsia" w:ascii="仿宋" w:hAnsi="仿宋" w:eastAsia="仿宋" w:cs="仿宋"/>
          <w:sz w:val="32"/>
          <w:szCs w:val="32"/>
        </w:rPr>
      </w:pPr>
      <w:r>
        <w:rPr>
          <w:rFonts w:hint="eastAsia" w:ascii="楷体" w:hAnsi="楷体" w:eastAsia="楷体" w:cs="楷体"/>
          <w:b/>
          <w:bCs/>
          <w:i w:val="0"/>
          <w:caps w:val="0"/>
          <w:color w:val="222222"/>
          <w:spacing w:val="0"/>
          <w:sz w:val="32"/>
          <w:szCs w:val="32"/>
        </w:rPr>
        <w:t>（七）回应社会关切情况。</w:t>
      </w:r>
      <w:r>
        <w:rPr>
          <w:rFonts w:hint="eastAsia" w:ascii="仿宋" w:hAnsi="仿宋" w:eastAsia="仿宋" w:cs="仿宋"/>
          <w:i w:val="0"/>
          <w:caps w:val="0"/>
          <w:color w:val="222222"/>
          <w:spacing w:val="0"/>
          <w:sz w:val="32"/>
          <w:szCs w:val="32"/>
        </w:rPr>
        <w:t>建立健全了政务舆情收集和回应机制，不断提高回应关切能力，实现回应关切常态化。根据工作需要，在区政府门户网站上搭建统一的“政民互动”交流平台，实现书记信箱、区长信箱、调查征集、互动访谈、在线调查等功能，同时在政务公开栏目关联辟谣平台和市长热线，全年共收到网民留言及投诉共50条，已回复44条，办理中6条。</w:t>
      </w:r>
    </w:p>
    <w:tbl>
      <w:tblPr>
        <w:tblStyle w:val="4"/>
        <w:tblW w:w="8140" w:type="dxa"/>
        <w:jc w:val="center"/>
        <w:tblInd w:w="191" w:type="dxa"/>
        <w:shd w:val="clear" w:color="auto" w:fill="auto"/>
        <w:tblLayout w:type="fixed"/>
        <w:tblCellMar>
          <w:top w:w="0" w:type="dxa"/>
          <w:left w:w="0" w:type="dxa"/>
          <w:bottom w:w="0" w:type="dxa"/>
          <w:right w:w="0" w:type="dxa"/>
        </w:tblCellMar>
      </w:tblPr>
      <w:tblGrid>
        <w:gridCol w:w="3113"/>
        <w:gridCol w:w="1875"/>
        <w:gridCol w:w="6"/>
        <w:gridCol w:w="1265"/>
        <w:gridCol w:w="1881"/>
      </w:tblGrid>
      <w:tr>
        <w:tblPrEx>
          <w:shd w:val="clear" w:color="auto" w:fill="auto"/>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rPr>
              <w:t>信息内容</w:t>
            </w:r>
          </w:p>
        </w:tc>
        <w:tc>
          <w:tcPr>
            <w:tcW w:w="18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rPr>
              <w:t>本年新</w:t>
            </w:r>
            <w:r>
              <w:rPr>
                <w:rFonts w:hint="eastAsia" w:ascii="仿宋" w:hAnsi="仿宋" w:eastAsia="仿宋" w:cs="仿宋"/>
                <w:color w:val="000000"/>
                <w:sz w:val="32"/>
                <w:szCs w:val="32"/>
              </w:rPr>
              <w:br w:type="textWrapping"/>
            </w:r>
            <w:r>
              <w:rPr>
                <w:rFonts w:hint="eastAsia" w:ascii="仿宋" w:hAnsi="仿宋" w:eastAsia="仿宋" w:cs="仿宋"/>
                <w:sz w:val="32"/>
                <w:szCs w:val="32"/>
              </w:rPr>
              <w:t>制作数量</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rPr>
              <w:t>本年新</w:t>
            </w:r>
            <w:r>
              <w:rPr>
                <w:rFonts w:hint="eastAsia" w:ascii="仿宋" w:hAnsi="仿宋" w:eastAsia="仿宋" w:cs="仿宋"/>
                <w:color w:val="000000"/>
                <w:sz w:val="32"/>
                <w:szCs w:val="32"/>
              </w:rPr>
              <w:br w:type="textWrapping"/>
            </w:r>
            <w:r>
              <w:rPr>
                <w:rFonts w:hint="eastAsia" w:ascii="仿宋" w:hAnsi="仿宋" w:eastAsia="仿宋" w:cs="仿宋"/>
                <w:sz w:val="32"/>
                <w:szCs w:val="32"/>
              </w:rPr>
              <w:t>公开数量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rPr>
              <w:t>规章</w:t>
            </w:r>
          </w:p>
        </w:tc>
        <w:tc>
          <w:tcPr>
            <w:tcW w:w="18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rPr>
              <w:t>　0</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rPr>
              <w:t> </w:t>
            </w:r>
            <w:r>
              <w:rPr>
                <w:rFonts w:hint="eastAsia" w:ascii="仿宋" w:hAnsi="仿宋" w:eastAsia="仿宋" w:cs="仿宋"/>
                <w:color w:val="000000"/>
                <w:sz w:val="32"/>
                <w:szCs w:val="32"/>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rPr>
              <w:t>　</w:t>
            </w:r>
            <w:r>
              <w:rPr>
                <w:rFonts w:hint="eastAsia" w:ascii="仿宋" w:hAnsi="仿宋" w:eastAsia="仿宋" w:cs="仿宋"/>
                <w:color w:val="000000"/>
                <w:sz w:val="32"/>
                <w:szCs w:val="32"/>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rPr>
              <w:t>规范性文件</w:t>
            </w:r>
          </w:p>
        </w:tc>
        <w:tc>
          <w:tcPr>
            <w:tcW w:w="18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rPr>
              <w:t>　　</w:t>
            </w:r>
            <w:r>
              <w:rPr>
                <w:rFonts w:hint="eastAsia" w:ascii="仿宋" w:hAnsi="仿宋" w:eastAsia="仿宋" w:cs="仿宋"/>
                <w:color w:val="000000"/>
                <w:sz w:val="32"/>
                <w:szCs w:val="32"/>
              </w:rPr>
              <w:t>3</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rPr>
              <w:t> </w:t>
            </w:r>
            <w:r>
              <w:rPr>
                <w:rFonts w:hint="eastAsia" w:ascii="仿宋" w:hAnsi="仿宋" w:eastAsia="仿宋" w:cs="仿宋"/>
                <w:color w:val="000000"/>
                <w:sz w:val="32"/>
                <w:szCs w:val="32"/>
              </w:rPr>
              <w:t>3</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rPr>
              <w:t>　</w:t>
            </w:r>
            <w:r>
              <w:rPr>
                <w:rFonts w:hint="eastAsia" w:ascii="仿宋" w:hAnsi="仿宋" w:eastAsia="仿宋" w:cs="仿宋"/>
                <w:color w:val="000000"/>
                <w:sz w:val="32"/>
                <w:szCs w:val="32"/>
              </w:rPr>
              <w:t>8</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rPr>
              <w:t>信息内容</w:t>
            </w:r>
          </w:p>
        </w:tc>
        <w:tc>
          <w:tcPr>
            <w:tcW w:w="18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rPr>
              <w:t>上一年项目数量</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rPr>
              <w:t>本年增</w:t>
            </w:r>
            <w:r>
              <w:rPr>
                <w:rFonts w:hint="eastAsia" w:ascii="仿宋" w:hAnsi="仿宋" w:eastAsia="仿宋" w:cs="仿宋"/>
                <w:color w:val="000000"/>
                <w:sz w:val="32"/>
                <w:szCs w:val="32"/>
              </w:rPr>
              <w:t>/</w:t>
            </w:r>
            <w:r>
              <w:rPr>
                <w:rFonts w:hint="eastAsia" w:ascii="仿宋" w:hAnsi="仿宋" w:eastAsia="仿宋" w:cs="仿宋"/>
                <w:color w:val="000000"/>
                <w:sz w:val="32"/>
                <w:szCs w:val="32"/>
              </w:rPr>
              <w:t>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rPr>
              <w:t>行政许可</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sz w:val="32"/>
                <w:szCs w:val="32"/>
              </w:rPr>
              <w:t>178</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firstLine="200"/>
              <w:jc w:val="left"/>
              <w:rPr>
                <w:rFonts w:hint="eastAsia" w:ascii="仿宋" w:hAnsi="仿宋" w:eastAsia="仿宋" w:cs="仿宋"/>
                <w:sz w:val="32"/>
                <w:szCs w:val="32"/>
              </w:rPr>
            </w:pPr>
            <w:r>
              <w:rPr>
                <w:rFonts w:hint="eastAsia" w:ascii="仿宋" w:hAnsi="仿宋" w:eastAsia="仿宋" w:cs="仿宋"/>
                <w:color w:val="000000"/>
                <w:sz w:val="32"/>
                <w:szCs w:val="32"/>
              </w:rPr>
              <w:t>增</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rPr>
              <w:t>　</w:t>
            </w:r>
            <w:r>
              <w:rPr>
                <w:rFonts w:hint="eastAsia" w:ascii="仿宋" w:hAnsi="仿宋" w:eastAsia="仿宋" w:cs="仿宋"/>
                <w:color w:val="000000"/>
                <w:sz w:val="32"/>
                <w:szCs w:val="32"/>
              </w:rPr>
              <w:t>211</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rPr>
              <w:t>其他对外管理服务事项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rPr>
              <w:t>　</w:t>
            </w:r>
            <w:r>
              <w:rPr>
                <w:rFonts w:hint="eastAsia" w:ascii="仿宋" w:hAnsi="仿宋" w:eastAsia="仿宋" w:cs="仿宋"/>
                <w:color w:val="000000"/>
                <w:sz w:val="32"/>
                <w:szCs w:val="32"/>
              </w:rPr>
              <w:t>362</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rPr>
              <w:t>　增</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rPr>
              <w:t>　</w:t>
            </w:r>
            <w:r>
              <w:rPr>
                <w:rFonts w:hint="eastAsia" w:ascii="仿宋" w:hAnsi="仿宋" w:eastAsia="仿宋" w:cs="仿宋"/>
                <w:color w:val="000000"/>
                <w:sz w:val="32"/>
                <w:szCs w:val="32"/>
              </w:rPr>
              <w:t>368</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rPr>
              <w:t>信息内容</w:t>
            </w:r>
          </w:p>
        </w:tc>
        <w:tc>
          <w:tcPr>
            <w:tcW w:w="18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rPr>
              <w:t>上一年项目数量</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rPr>
              <w:t>本年增</w:t>
            </w:r>
            <w:r>
              <w:rPr>
                <w:rFonts w:hint="eastAsia" w:ascii="仿宋" w:hAnsi="仿宋" w:eastAsia="仿宋" w:cs="仿宋"/>
                <w:color w:val="000000"/>
                <w:sz w:val="32"/>
                <w:szCs w:val="32"/>
              </w:rPr>
              <w:t>/</w:t>
            </w:r>
            <w:r>
              <w:rPr>
                <w:rFonts w:hint="eastAsia" w:ascii="仿宋" w:hAnsi="仿宋" w:eastAsia="仿宋" w:cs="仿宋"/>
                <w:color w:val="000000"/>
                <w:sz w:val="32"/>
                <w:szCs w:val="32"/>
              </w:rPr>
              <w:t>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rPr>
              <w:t>行政处罚</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rPr>
              <w:t>　</w:t>
            </w:r>
            <w:r>
              <w:rPr>
                <w:rFonts w:hint="eastAsia" w:ascii="仿宋" w:hAnsi="仿宋" w:eastAsia="仿宋" w:cs="仿宋"/>
                <w:color w:val="000000"/>
                <w:sz w:val="32"/>
                <w:szCs w:val="32"/>
              </w:rPr>
              <w:t>1930</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rPr>
              <w:t>　增</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rPr>
              <w:t>　</w:t>
            </w:r>
            <w:r>
              <w:rPr>
                <w:rFonts w:hint="eastAsia" w:ascii="仿宋" w:hAnsi="仿宋" w:eastAsia="仿宋" w:cs="仿宋"/>
                <w:color w:val="000000"/>
                <w:sz w:val="32"/>
                <w:szCs w:val="32"/>
              </w:rPr>
              <w:t>2872</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rPr>
              <w:t>行政强制</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sz w:val="32"/>
                <w:szCs w:val="32"/>
              </w:rPr>
              <w:t>127</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rPr>
              <w:t>　增</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rPr>
              <w:t>　170</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rPr>
              <w:t>信息内容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rPr>
              <w:t>上一年项目数量</w:t>
            </w:r>
          </w:p>
        </w:tc>
        <w:tc>
          <w:tcPr>
            <w:tcW w:w="3146"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rPr>
              <w:t>本年增</w:t>
            </w:r>
            <w:r>
              <w:rPr>
                <w:rFonts w:hint="eastAsia" w:ascii="仿宋" w:hAnsi="仿宋" w:eastAsia="仿宋" w:cs="仿宋"/>
                <w:color w:val="000000"/>
                <w:sz w:val="32"/>
                <w:szCs w:val="32"/>
              </w:rPr>
              <w:t>/</w:t>
            </w:r>
            <w:r>
              <w:rPr>
                <w:rFonts w:hint="eastAsia" w:ascii="仿宋" w:hAnsi="仿宋" w:eastAsia="仿宋" w:cs="仿宋"/>
                <w:color w:val="000000"/>
                <w:sz w:val="32"/>
                <w:szCs w:val="32"/>
              </w:rPr>
              <w:t>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rPr>
              <w:t>行政事业性收费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rPr>
              <w:t>　</w:t>
            </w:r>
            <w:r>
              <w:rPr>
                <w:rFonts w:hint="eastAsia" w:ascii="仿宋" w:hAnsi="仿宋" w:eastAsia="仿宋" w:cs="仿宋"/>
                <w:color w:val="000000"/>
                <w:sz w:val="32"/>
                <w:szCs w:val="32"/>
              </w:rPr>
              <w:t>11</w:t>
            </w:r>
          </w:p>
        </w:tc>
        <w:tc>
          <w:tcPr>
            <w:tcW w:w="3146"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rPr>
              <w:t>减5</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rPr>
              <w:t>信息内容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rPr>
              <w:t>采购项目数量</w:t>
            </w:r>
          </w:p>
        </w:tc>
        <w:tc>
          <w:tcPr>
            <w:tcW w:w="3146"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rPr>
              <w:t>政府集中采购</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rPr>
              <w:t>　</w:t>
            </w:r>
            <w:r>
              <w:rPr>
                <w:rFonts w:hint="eastAsia" w:ascii="仿宋" w:hAnsi="仿宋" w:eastAsia="仿宋" w:cs="仿宋"/>
                <w:color w:val="000000"/>
                <w:sz w:val="32"/>
                <w:szCs w:val="32"/>
              </w:rPr>
              <w:t>295</w:t>
            </w:r>
          </w:p>
        </w:tc>
        <w:tc>
          <w:tcPr>
            <w:tcW w:w="3146"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rPr>
              <w:t>15197938.608796万元</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00" w:right="300" w:firstLine="0"/>
        <w:jc w:val="left"/>
        <w:rPr>
          <w:rFonts w:hint="eastAsia" w:ascii="仿宋" w:hAnsi="仿宋" w:eastAsia="仿宋" w:cs="仿宋"/>
          <w:i w:val="0"/>
          <w:caps w:val="0"/>
          <w:color w:val="222222"/>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210" w:afterAutospacing="0" w:line="495" w:lineRule="atLeast"/>
        <w:ind w:left="300" w:right="300" w:firstLine="420"/>
        <w:rPr>
          <w:rFonts w:hint="eastAsia" w:ascii="黑体" w:hAnsi="黑体" w:eastAsia="黑体" w:cs="黑体"/>
          <w:i w:val="0"/>
          <w:caps w:val="0"/>
          <w:color w:val="222222"/>
          <w:spacing w:val="0"/>
          <w:sz w:val="32"/>
          <w:szCs w:val="32"/>
        </w:rPr>
      </w:pPr>
      <w:r>
        <w:rPr>
          <w:rFonts w:hint="eastAsia" w:ascii="黑体" w:hAnsi="黑体" w:eastAsia="黑体" w:cs="黑体"/>
          <w:i w:val="0"/>
          <w:caps w:val="0"/>
          <w:color w:val="222222"/>
          <w:spacing w:val="0"/>
          <w:sz w:val="32"/>
          <w:szCs w:val="32"/>
        </w:rPr>
        <w:t>三、政府信息依申请公开办理情况</w:t>
      </w:r>
    </w:p>
    <w:tbl>
      <w:tblPr>
        <w:tblStyle w:val="4"/>
        <w:tblW w:w="9075" w:type="dxa"/>
        <w:jc w:val="center"/>
        <w:tblInd w:w="-276"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16"/>
        <w:gridCol w:w="854"/>
        <w:gridCol w:w="2087"/>
        <w:gridCol w:w="813"/>
        <w:gridCol w:w="755"/>
        <w:gridCol w:w="755"/>
        <w:gridCol w:w="813"/>
        <w:gridCol w:w="974"/>
        <w:gridCol w:w="712"/>
        <w:gridCol w:w="6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557"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（本列数据的勾稽关系为：第一项加第二项之和，等于第三项加第四项之和）</w:t>
            </w:r>
          </w:p>
        </w:tc>
        <w:tc>
          <w:tcPr>
            <w:tcW w:w="5518"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813"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自然人</w:t>
            </w:r>
          </w:p>
        </w:tc>
        <w:tc>
          <w:tcPr>
            <w:tcW w:w="4009"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法人或其他组织</w:t>
            </w:r>
          </w:p>
        </w:tc>
        <w:tc>
          <w:tcPr>
            <w:tcW w:w="69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81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商业企业</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科研机构</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社会公益组织</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法律服务机构</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其他</w:t>
            </w:r>
          </w:p>
        </w:tc>
        <w:tc>
          <w:tcPr>
            <w:tcW w:w="69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sz w:val="32"/>
                <w:szCs w:val="32"/>
              </w:rPr>
              <w:t>一、本年新收政府信息公开申请数量</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6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sz w:val="32"/>
                <w:szCs w:val="32"/>
              </w:rPr>
              <w:t>二、上年结转政府信息公开申请数量</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6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三、本年度办理结果</w:t>
            </w:r>
          </w:p>
        </w:tc>
        <w:tc>
          <w:tcPr>
            <w:tcW w:w="294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sz w:val="32"/>
                <w:szCs w:val="32"/>
              </w:rPr>
              <w:t>（一）予以公开</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6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294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sz w:val="32"/>
                <w:szCs w:val="32"/>
              </w:rPr>
              <w:t>（二）部分公开（区分处理的，只计这一情形，不计其他情形）</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6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sz w:val="32"/>
                <w:szCs w:val="32"/>
              </w:rPr>
              <w:t>（三）不予公开</w:t>
            </w:r>
          </w:p>
        </w:tc>
        <w:tc>
          <w:tcPr>
            <w:tcW w:w="208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sz w:val="32"/>
                <w:szCs w:val="32"/>
              </w:rPr>
              <w:t>1.属于国家秘密</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6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208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sz w:val="32"/>
                <w:szCs w:val="32"/>
              </w:rPr>
              <w:t>2.其他法律行政法规禁止公开</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6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208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sz w:val="32"/>
                <w:szCs w:val="32"/>
              </w:rPr>
              <w:t>3.危及“三安全一稳定”</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6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208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sz w:val="32"/>
                <w:szCs w:val="32"/>
              </w:rPr>
              <w:t>4.保护第三方合法权益</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6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208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sz w:val="32"/>
                <w:szCs w:val="32"/>
              </w:rPr>
              <w:t>5.属于三类内部事务信息</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6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208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sz w:val="32"/>
                <w:szCs w:val="32"/>
              </w:rPr>
              <w:t>6.属于四类过程性信息</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6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208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sz w:val="32"/>
                <w:szCs w:val="32"/>
              </w:rPr>
              <w:t>7.属于行政执法案卷</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6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208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sz w:val="32"/>
                <w:szCs w:val="32"/>
              </w:rPr>
              <w:t>8.属于行政查询事项</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6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sz w:val="32"/>
                <w:szCs w:val="32"/>
              </w:rPr>
              <w:t>（四）无法提供</w:t>
            </w:r>
          </w:p>
        </w:tc>
        <w:tc>
          <w:tcPr>
            <w:tcW w:w="208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sz w:val="32"/>
                <w:szCs w:val="32"/>
              </w:rPr>
              <w:t>1.本机关不掌握相关政府信息</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6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208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sz w:val="32"/>
                <w:szCs w:val="32"/>
              </w:rPr>
              <w:t>2.没有现成信息需要另行制作</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6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208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sz w:val="32"/>
                <w:szCs w:val="32"/>
              </w:rPr>
              <w:t>3.补正后申请内容仍不明确</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6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sz w:val="32"/>
                <w:szCs w:val="32"/>
              </w:rPr>
              <w:t>（五）不予处理</w:t>
            </w:r>
          </w:p>
        </w:tc>
        <w:tc>
          <w:tcPr>
            <w:tcW w:w="208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sz w:val="32"/>
                <w:szCs w:val="32"/>
              </w:rPr>
              <w:t>1.信访举报投诉类申请</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6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208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sz w:val="32"/>
                <w:szCs w:val="32"/>
              </w:rPr>
              <w:t>2.重复申请</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6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208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sz w:val="32"/>
                <w:szCs w:val="32"/>
              </w:rPr>
              <w:t>3.要求提供公开出版物</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6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208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sz w:val="32"/>
                <w:szCs w:val="32"/>
              </w:rPr>
              <w:t>4.无正当理由大量反复申请</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6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208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sz w:val="32"/>
                <w:szCs w:val="32"/>
              </w:rPr>
              <w:t>5.要求行政机关确认或重新出具已获取信息</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6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294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sz w:val="32"/>
                <w:szCs w:val="32"/>
              </w:rPr>
              <w:t>（六）其他处理</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6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294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sz w:val="32"/>
                <w:szCs w:val="32"/>
              </w:rPr>
              <w:t>（七）总计</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6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left"/>
              <w:rPr>
                <w:rFonts w:hint="eastAsia" w:ascii="仿宋" w:hAnsi="仿宋" w:eastAsia="仿宋" w:cs="仿宋"/>
                <w:sz w:val="32"/>
                <w:szCs w:val="32"/>
              </w:rPr>
            </w:pPr>
            <w:r>
              <w:rPr>
                <w:rFonts w:hint="eastAsia" w:ascii="仿宋" w:hAnsi="仿宋" w:eastAsia="仿宋" w:cs="仿宋"/>
                <w:sz w:val="32"/>
                <w:szCs w:val="32"/>
              </w:rPr>
              <w:t>四、结转下年度继续办理</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6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210" w:afterAutospacing="0" w:line="495" w:lineRule="atLeast"/>
        <w:ind w:left="300" w:right="300" w:firstLine="420"/>
        <w:rPr>
          <w:rFonts w:hint="eastAsia" w:ascii="仿宋" w:hAnsi="仿宋" w:eastAsia="仿宋" w:cs="仿宋"/>
          <w:sz w:val="32"/>
          <w:szCs w:val="32"/>
        </w:rPr>
      </w:pPr>
      <w:r>
        <w:rPr>
          <w:rFonts w:hint="eastAsia" w:ascii="仿宋" w:hAnsi="仿宋" w:eastAsia="仿宋" w:cs="仿宋"/>
          <w:i w:val="0"/>
          <w:caps w:val="0"/>
          <w:color w:val="222222"/>
          <w:spacing w:val="0"/>
          <w:sz w:val="32"/>
          <w:szCs w:val="32"/>
        </w:rPr>
        <w:t>全区各部门均在“政务公开”专栏中公布了依申请公开的受理机构、程序、办公地点、办公时间、收费依据、收费标准和申请表等相关详细信息，依申请公开的事项依照申请人要求的形式予以提供，2019年平川区未收到政府信息依申请公开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210" w:afterAutospacing="0" w:line="495" w:lineRule="atLeast"/>
        <w:ind w:left="300" w:right="300" w:firstLine="420"/>
        <w:rPr>
          <w:rFonts w:hint="eastAsia" w:ascii="黑体" w:hAnsi="黑体" w:eastAsia="黑体" w:cs="黑体"/>
          <w:i w:val="0"/>
          <w:caps w:val="0"/>
          <w:color w:val="222222"/>
          <w:spacing w:val="0"/>
          <w:sz w:val="32"/>
          <w:szCs w:val="32"/>
        </w:rPr>
      </w:pPr>
      <w:r>
        <w:rPr>
          <w:rFonts w:hint="eastAsia" w:ascii="黑体" w:hAnsi="黑体" w:eastAsia="黑体" w:cs="黑体"/>
          <w:i w:val="0"/>
          <w:caps w:val="0"/>
          <w:color w:val="222222"/>
          <w:spacing w:val="0"/>
          <w:sz w:val="32"/>
          <w:szCs w:val="32"/>
        </w:rPr>
        <w:t>四、政府信息公开行政复议、行政诉讼情况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210" w:afterAutospacing="0" w:line="495" w:lineRule="atLeast"/>
        <w:ind w:left="300" w:right="300" w:firstLine="420"/>
        <w:rPr>
          <w:rFonts w:hint="eastAsia" w:ascii="仿宋" w:hAnsi="仿宋" w:eastAsia="仿宋" w:cs="仿宋"/>
          <w:sz w:val="32"/>
          <w:szCs w:val="32"/>
        </w:rPr>
      </w:pPr>
      <w:r>
        <w:rPr>
          <w:rFonts w:hint="eastAsia" w:ascii="仿宋" w:hAnsi="仿宋" w:eastAsia="仿宋" w:cs="仿宋"/>
          <w:i w:val="0"/>
          <w:caps w:val="0"/>
          <w:color w:val="222222"/>
          <w:spacing w:val="0"/>
          <w:sz w:val="32"/>
          <w:szCs w:val="32"/>
        </w:rPr>
        <w:t>2019年，政府信息公开申请未发生举报、投诉、行政复议和行政诉讼等情况</w:t>
      </w:r>
    </w:p>
    <w:tbl>
      <w:tblPr>
        <w:tblStyle w:val="4"/>
        <w:tblW w:w="8522"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68"/>
        <w:gridCol w:w="568"/>
        <w:gridCol w:w="568"/>
        <w:gridCol w:w="568"/>
        <w:gridCol w:w="611"/>
        <w:gridCol w:w="524"/>
        <w:gridCol w:w="568"/>
        <w:gridCol w:w="568"/>
        <w:gridCol w:w="568"/>
        <w:gridCol w:w="568"/>
        <w:gridCol w:w="568"/>
        <w:gridCol w:w="568"/>
        <w:gridCol w:w="568"/>
        <w:gridCol w:w="569"/>
        <w:gridCol w:w="57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288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行政复议</w:t>
            </w:r>
          </w:p>
        </w:tc>
        <w:tc>
          <w:tcPr>
            <w:tcW w:w="5639"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结果维持</w:t>
            </w:r>
          </w:p>
        </w:tc>
        <w:tc>
          <w:tcPr>
            <w:tcW w:w="56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结果纠正</w:t>
            </w:r>
          </w:p>
        </w:tc>
        <w:tc>
          <w:tcPr>
            <w:tcW w:w="56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其他结果</w:t>
            </w:r>
          </w:p>
        </w:tc>
        <w:tc>
          <w:tcPr>
            <w:tcW w:w="56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尚未审结</w:t>
            </w:r>
          </w:p>
        </w:tc>
        <w:tc>
          <w:tcPr>
            <w:tcW w:w="611"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总计</w:t>
            </w:r>
          </w:p>
        </w:tc>
        <w:tc>
          <w:tcPr>
            <w:tcW w:w="2796"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未经复议直接起诉</w:t>
            </w:r>
          </w:p>
        </w:tc>
        <w:tc>
          <w:tcPr>
            <w:tcW w:w="284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5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5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5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61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32"/>
                <w:szCs w:val="32"/>
              </w:rPr>
            </w:pPr>
          </w:p>
        </w:tc>
        <w:tc>
          <w:tcPr>
            <w:tcW w:w="52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结果维持</w:t>
            </w:r>
          </w:p>
        </w:tc>
        <w:tc>
          <w:tcPr>
            <w:tcW w:w="56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结果纠正</w:t>
            </w:r>
          </w:p>
        </w:tc>
        <w:tc>
          <w:tcPr>
            <w:tcW w:w="56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其他结果</w:t>
            </w:r>
          </w:p>
        </w:tc>
        <w:tc>
          <w:tcPr>
            <w:tcW w:w="56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尚未审结</w:t>
            </w:r>
          </w:p>
        </w:tc>
        <w:tc>
          <w:tcPr>
            <w:tcW w:w="56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rPr>
              <w:t>总计</w:t>
            </w:r>
          </w:p>
        </w:tc>
        <w:tc>
          <w:tcPr>
            <w:tcW w:w="56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结果维持</w:t>
            </w:r>
          </w:p>
        </w:tc>
        <w:tc>
          <w:tcPr>
            <w:tcW w:w="56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结果纠正</w:t>
            </w:r>
          </w:p>
        </w:tc>
        <w:tc>
          <w:tcPr>
            <w:tcW w:w="56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rPr>
              <w:t>其他结果</w:t>
            </w:r>
          </w:p>
        </w:tc>
        <w:tc>
          <w:tcPr>
            <w:tcW w:w="5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尚未审结</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56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56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56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0 </w:t>
            </w:r>
          </w:p>
        </w:tc>
        <w:tc>
          <w:tcPr>
            <w:tcW w:w="6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0</w:t>
            </w:r>
          </w:p>
        </w:tc>
        <w:tc>
          <w:tcPr>
            <w:tcW w:w="52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rPr>
              <w:t>0</w:t>
            </w:r>
          </w:p>
        </w:tc>
        <w:tc>
          <w:tcPr>
            <w:tcW w:w="56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w:t>
            </w:r>
            <w:r>
              <w:rPr>
                <w:rFonts w:hint="eastAsia" w:ascii="仿宋" w:hAnsi="仿宋" w:eastAsia="仿宋" w:cs="仿宋"/>
                <w:sz w:val="32"/>
                <w:szCs w:val="32"/>
              </w:rPr>
              <w:t> </w:t>
            </w:r>
          </w:p>
        </w:tc>
        <w:tc>
          <w:tcPr>
            <w:tcW w:w="56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w:t>
            </w:r>
          </w:p>
        </w:tc>
        <w:tc>
          <w:tcPr>
            <w:tcW w:w="56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w:t>
            </w:r>
            <w:r>
              <w:rPr>
                <w:rFonts w:hint="eastAsia" w:ascii="仿宋" w:hAnsi="仿宋" w:eastAsia="仿宋" w:cs="仿宋"/>
                <w:sz w:val="32"/>
                <w:szCs w:val="32"/>
              </w:rPr>
              <w:t> </w:t>
            </w:r>
          </w:p>
        </w:tc>
        <w:tc>
          <w:tcPr>
            <w:tcW w:w="56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rPr>
              <w:t>0</w:t>
            </w:r>
            <w:r>
              <w:rPr>
                <w:rFonts w:hint="eastAsia" w:ascii="仿宋" w:hAnsi="仿宋" w:eastAsia="仿宋" w:cs="仿宋"/>
                <w:color w:val="000000"/>
                <w:sz w:val="32"/>
                <w:szCs w:val="32"/>
              </w:rPr>
              <w:t> </w:t>
            </w:r>
          </w:p>
        </w:tc>
        <w:tc>
          <w:tcPr>
            <w:tcW w:w="56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rPr>
              <w:t>0</w:t>
            </w:r>
          </w:p>
        </w:tc>
        <w:tc>
          <w:tcPr>
            <w:tcW w:w="56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w:t>
            </w:r>
          </w:p>
        </w:tc>
        <w:tc>
          <w:tcPr>
            <w:tcW w:w="56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rPr>
              <w:t>0</w:t>
            </w:r>
            <w:r>
              <w:rPr>
                <w:rFonts w:hint="eastAsia" w:ascii="仿宋" w:hAnsi="仿宋" w:eastAsia="仿宋" w:cs="仿宋"/>
                <w:color w:val="000000"/>
                <w:sz w:val="32"/>
                <w:szCs w:val="32"/>
              </w:rPr>
              <w:t> </w:t>
            </w:r>
          </w:p>
        </w:tc>
        <w:tc>
          <w:tcPr>
            <w:tcW w:w="5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0</w:t>
            </w:r>
            <w:r>
              <w:rPr>
                <w:rFonts w:hint="eastAsia" w:ascii="仿宋" w:hAnsi="仿宋" w:eastAsia="仿宋" w:cs="仿宋"/>
                <w:sz w:val="32"/>
                <w:szCs w:val="32"/>
              </w:rPr>
              <w:t> </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both"/>
              <w:rPr>
                <w:rFonts w:hint="eastAsia" w:ascii="仿宋" w:hAnsi="仿宋" w:eastAsia="仿宋" w:cs="仿宋"/>
                <w:sz w:val="32"/>
                <w:szCs w:val="32"/>
              </w:rPr>
            </w:pPr>
            <w:r>
              <w:rPr>
                <w:rFonts w:hint="eastAsia" w:ascii="仿宋" w:hAnsi="仿宋" w:eastAsia="仿宋" w:cs="仿宋"/>
                <w:sz w:val="32"/>
                <w:szCs w:val="32"/>
              </w:rPr>
              <w:t>0</w:t>
            </w:r>
          </w:p>
        </w:tc>
      </w:tr>
    </w:tbl>
    <w:p>
      <w:pPr>
        <w:keepNext w:val="0"/>
        <w:keepLines w:val="0"/>
        <w:widowControl/>
        <w:suppressLineNumbers w:val="0"/>
        <w:spacing w:before="150" w:beforeAutospacing="0" w:after="0" w:afterAutospacing="0"/>
        <w:ind w:left="300" w:right="300"/>
        <w:jc w:val="left"/>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210" w:afterAutospacing="0" w:line="495" w:lineRule="atLeast"/>
        <w:ind w:left="300" w:right="300" w:firstLine="420"/>
        <w:rPr>
          <w:rFonts w:hint="eastAsia" w:ascii="仿宋" w:hAnsi="仿宋" w:eastAsia="仿宋" w:cs="仿宋"/>
          <w:sz w:val="32"/>
          <w:szCs w:val="32"/>
        </w:rPr>
      </w:pPr>
      <w:r>
        <w:rPr>
          <w:rFonts w:hint="eastAsia" w:ascii="仿宋" w:hAnsi="仿宋" w:eastAsia="仿宋" w:cs="仿宋"/>
          <w:i w:val="0"/>
          <w:caps w:val="0"/>
          <w:color w:val="222222"/>
          <w:spacing w:val="0"/>
          <w:sz w:val="32"/>
          <w:szCs w:val="32"/>
        </w:rPr>
        <w:t>政府信息公开的主要载体为平川区人民政府门户网站、 “平川发布” 、“平川新闻”等政务新媒体，且全部为免费开放平台。依申请公开信息受理全部由区电子政务办公室受理，为当面申请的现场予以答复，未产生费用。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210" w:afterAutospacing="0" w:line="495" w:lineRule="atLeast"/>
        <w:ind w:left="300" w:right="300" w:firstLine="420"/>
        <w:rPr>
          <w:rFonts w:hint="eastAsia" w:ascii="黑体" w:hAnsi="黑体" w:eastAsia="黑体" w:cs="黑体"/>
          <w:i w:val="0"/>
          <w:caps w:val="0"/>
          <w:color w:val="222222"/>
          <w:spacing w:val="0"/>
          <w:sz w:val="32"/>
          <w:szCs w:val="32"/>
        </w:rPr>
      </w:pPr>
      <w:r>
        <w:rPr>
          <w:rFonts w:hint="eastAsia" w:ascii="黑体" w:hAnsi="黑体" w:eastAsia="黑体" w:cs="黑体"/>
          <w:i w:val="0"/>
          <w:caps w:val="0"/>
          <w:color w:val="222222"/>
          <w:spacing w:val="0"/>
          <w:sz w:val="32"/>
          <w:szCs w:val="32"/>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210" w:afterAutospacing="0" w:line="495" w:lineRule="atLeast"/>
        <w:ind w:left="300" w:right="300" w:firstLine="420"/>
        <w:rPr>
          <w:rFonts w:hint="eastAsia" w:ascii="仿宋" w:hAnsi="仿宋" w:eastAsia="仿宋" w:cs="仿宋"/>
          <w:sz w:val="32"/>
          <w:szCs w:val="32"/>
        </w:rPr>
      </w:pPr>
      <w:r>
        <w:rPr>
          <w:rFonts w:hint="eastAsia" w:ascii="仿宋" w:hAnsi="仿宋" w:eastAsia="仿宋" w:cs="仿宋"/>
          <w:i w:val="0"/>
          <w:caps w:val="0"/>
          <w:color w:val="222222"/>
          <w:spacing w:val="0"/>
          <w:sz w:val="32"/>
          <w:szCs w:val="32"/>
        </w:rPr>
        <w:t>2019年，我区政务公开工作取得了一定成绩，但与市政府的要求还有一定的差距和不足。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210" w:afterAutospacing="0" w:line="495" w:lineRule="atLeast"/>
        <w:ind w:left="300" w:right="300" w:firstLine="420"/>
        <w:rPr>
          <w:rFonts w:hint="eastAsia" w:ascii="楷体" w:hAnsi="楷体" w:eastAsia="楷体" w:cs="楷体"/>
          <w:b/>
          <w:bCs/>
          <w:i w:val="0"/>
          <w:caps w:val="0"/>
          <w:color w:val="222222"/>
          <w:spacing w:val="0"/>
          <w:sz w:val="32"/>
          <w:szCs w:val="32"/>
        </w:rPr>
      </w:pPr>
      <w:r>
        <w:rPr>
          <w:rFonts w:hint="eastAsia" w:ascii="楷体" w:hAnsi="楷体" w:eastAsia="楷体" w:cs="楷体"/>
          <w:b/>
          <w:bCs/>
          <w:i w:val="0"/>
          <w:caps w:val="0"/>
          <w:color w:val="222222"/>
          <w:spacing w:val="0"/>
          <w:sz w:val="32"/>
          <w:szCs w:val="32"/>
        </w:rPr>
        <w:t>（一）存在的主要问题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210" w:afterAutospacing="0" w:line="495" w:lineRule="atLeast"/>
        <w:ind w:left="300" w:right="300" w:firstLine="420"/>
        <w:rPr>
          <w:rFonts w:hint="eastAsia" w:ascii="仿宋" w:hAnsi="仿宋" w:eastAsia="仿宋" w:cs="仿宋"/>
          <w:sz w:val="32"/>
          <w:szCs w:val="32"/>
        </w:rPr>
      </w:pPr>
      <w:r>
        <w:rPr>
          <w:rFonts w:hint="eastAsia" w:ascii="仿宋" w:hAnsi="仿宋" w:eastAsia="仿宋" w:cs="仿宋"/>
          <w:i w:val="0"/>
          <w:caps w:val="0"/>
          <w:color w:val="222222"/>
          <w:spacing w:val="0"/>
          <w:sz w:val="32"/>
          <w:szCs w:val="32"/>
        </w:rPr>
        <w:t>1、主要是各乡镇、各部门单位，从事政府信息公开工作的人员绝大部分是办公室人员，无专职人员，工作力量薄弱并且人员变动频繁，工作存在交接滞后，缺乏延续性。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210" w:afterAutospacing="0" w:line="495" w:lineRule="atLeast"/>
        <w:ind w:left="300" w:right="300" w:firstLine="420"/>
        <w:rPr>
          <w:rFonts w:hint="eastAsia" w:ascii="仿宋" w:hAnsi="仿宋" w:eastAsia="仿宋" w:cs="仿宋"/>
          <w:sz w:val="32"/>
          <w:szCs w:val="32"/>
        </w:rPr>
      </w:pPr>
      <w:r>
        <w:rPr>
          <w:rFonts w:hint="eastAsia" w:ascii="仿宋" w:hAnsi="仿宋" w:eastAsia="仿宋" w:cs="仿宋"/>
          <w:i w:val="0"/>
          <w:caps w:val="0"/>
          <w:color w:val="222222"/>
          <w:spacing w:val="0"/>
          <w:sz w:val="32"/>
          <w:szCs w:val="32"/>
        </w:rPr>
        <w:t>2、个别单位的政务公开工作人员对此项工作的认识还不足，积极性不高。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210" w:afterAutospacing="0" w:line="495" w:lineRule="atLeast"/>
        <w:ind w:left="300" w:right="300" w:firstLine="420"/>
        <w:rPr>
          <w:rFonts w:hint="eastAsia" w:ascii="仿宋" w:hAnsi="仿宋" w:eastAsia="仿宋" w:cs="仿宋"/>
          <w:sz w:val="32"/>
          <w:szCs w:val="32"/>
        </w:rPr>
      </w:pPr>
      <w:r>
        <w:rPr>
          <w:rFonts w:hint="eastAsia" w:ascii="仿宋" w:hAnsi="仿宋" w:eastAsia="仿宋" w:cs="仿宋"/>
          <w:i w:val="0"/>
          <w:caps w:val="0"/>
          <w:color w:val="222222"/>
          <w:spacing w:val="0"/>
          <w:sz w:val="32"/>
          <w:szCs w:val="32"/>
        </w:rPr>
        <w:t>3、主动公开信息内容还不够全面精细。在政策解读上转载“中国政府网”和“中国·甘肃”网解读内容较多，而解读本区级政策还不够；解读形式单一，不够丰富多样。以文字解读居多，图表较少。部分单位政策文件解读不到位，对本单位发布的政策文件，未按相关要求做进一步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210" w:afterAutospacing="0" w:line="495" w:lineRule="atLeast"/>
        <w:ind w:left="300" w:right="300" w:firstLine="420"/>
        <w:rPr>
          <w:rFonts w:hint="eastAsia" w:ascii="楷体" w:hAnsi="楷体" w:eastAsia="楷体" w:cs="楷体"/>
          <w:b/>
          <w:bCs/>
          <w:i w:val="0"/>
          <w:caps w:val="0"/>
          <w:color w:val="222222"/>
          <w:spacing w:val="0"/>
          <w:sz w:val="32"/>
          <w:szCs w:val="32"/>
        </w:rPr>
      </w:pPr>
      <w:bookmarkStart w:id="0" w:name="_GoBack"/>
      <w:r>
        <w:rPr>
          <w:rFonts w:hint="eastAsia" w:ascii="楷体" w:hAnsi="楷体" w:eastAsia="楷体" w:cs="楷体"/>
          <w:b/>
          <w:bCs/>
          <w:i w:val="0"/>
          <w:caps w:val="0"/>
          <w:color w:val="222222"/>
          <w:spacing w:val="0"/>
          <w:sz w:val="32"/>
          <w:szCs w:val="32"/>
        </w:rPr>
        <w:t>（二）针对存在的问题，今后主要抓好以下几方面的工作：</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210" w:afterAutospacing="0" w:line="495" w:lineRule="atLeast"/>
        <w:ind w:left="300" w:right="300" w:firstLine="420"/>
        <w:rPr>
          <w:rFonts w:hint="eastAsia" w:ascii="仿宋" w:hAnsi="仿宋" w:eastAsia="仿宋" w:cs="仿宋"/>
          <w:sz w:val="32"/>
          <w:szCs w:val="32"/>
        </w:rPr>
      </w:pPr>
      <w:r>
        <w:rPr>
          <w:rFonts w:hint="eastAsia" w:ascii="仿宋" w:hAnsi="仿宋" w:eastAsia="仿宋" w:cs="仿宋"/>
          <w:i w:val="0"/>
          <w:caps w:val="0"/>
          <w:color w:val="222222"/>
          <w:spacing w:val="0"/>
          <w:sz w:val="32"/>
          <w:szCs w:val="32"/>
        </w:rPr>
        <w:t>1、我们将继续贯彻落实国务院、省、市关于推进政务公开工作的决策部署，加大重点领域信息公开，进一步完善公开机制，不断提高政务公开工作实效，将以更高的标准、更实的举措推进我区政务公开工作。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210" w:afterAutospacing="0" w:line="495" w:lineRule="atLeast"/>
        <w:ind w:left="300" w:right="300" w:firstLine="420"/>
        <w:rPr>
          <w:rFonts w:hint="eastAsia" w:ascii="仿宋" w:hAnsi="仿宋" w:eastAsia="仿宋" w:cs="仿宋"/>
          <w:sz w:val="32"/>
          <w:szCs w:val="32"/>
        </w:rPr>
      </w:pPr>
      <w:r>
        <w:rPr>
          <w:rFonts w:hint="eastAsia" w:ascii="仿宋" w:hAnsi="仿宋" w:eastAsia="仿宋" w:cs="仿宋"/>
          <w:i w:val="0"/>
          <w:caps w:val="0"/>
          <w:color w:val="222222"/>
          <w:spacing w:val="0"/>
          <w:sz w:val="32"/>
          <w:szCs w:val="32"/>
        </w:rPr>
        <w:t>2、继续加强政府信息公开制度的建设，加大对政府信息公开的公开、宣传、培训力度，持续规范依申请公开办理工作，健全完善区政府信息公开制度，保密审查、考核通报、新媒体管理运行、政策解读等制度。加强检查监管信息的公开，加快建立健全以“双随机、一公开”监管及信用监管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210" w:afterAutospacing="0" w:line="495" w:lineRule="atLeast"/>
        <w:ind w:left="300" w:right="300" w:firstLine="420"/>
        <w:rPr>
          <w:rFonts w:hint="eastAsia" w:ascii="仿宋" w:hAnsi="仿宋" w:eastAsia="仿宋" w:cs="仿宋"/>
          <w:sz w:val="32"/>
          <w:szCs w:val="32"/>
        </w:rPr>
      </w:pPr>
      <w:r>
        <w:rPr>
          <w:rFonts w:hint="eastAsia" w:ascii="仿宋" w:hAnsi="仿宋" w:eastAsia="仿宋" w:cs="仿宋"/>
          <w:i w:val="0"/>
          <w:caps w:val="0"/>
          <w:color w:val="222222"/>
          <w:spacing w:val="0"/>
          <w:sz w:val="32"/>
          <w:szCs w:val="32"/>
        </w:rPr>
        <w:t>3、加强政府信息公开审查工作。切实做好政府信息公开前的审查，对涉及个人隐私信息公开时进行处理，确保信息的安全和准确，本着“谁提供、谁负责，谁审查、谁负责”的原则，健全保密审查制度，采取严格审核批准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210" w:afterAutospacing="0" w:line="495" w:lineRule="atLeast"/>
        <w:ind w:left="300" w:right="300" w:firstLine="420"/>
        <w:rPr>
          <w:rFonts w:hint="eastAsia" w:ascii="仿宋" w:hAnsi="仿宋" w:eastAsia="仿宋" w:cs="仿宋"/>
          <w:sz w:val="32"/>
          <w:szCs w:val="32"/>
        </w:rPr>
      </w:pPr>
      <w:r>
        <w:rPr>
          <w:rFonts w:hint="eastAsia" w:ascii="仿宋" w:hAnsi="仿宋" w:eastAsia="仿宋" w:cs="仿宋"/>
          <w:i w:val="0"/>
          <w:caps w:val="0"/>
          <w:color w:val="222222"/>
          <w:spacing w:val="0"/>
          <w:sz w:val="32"/>
          <w:szCs w:val="32"/>
        </w:rPr>
        <w:t>4、2020年我们将加大探索运用图片图表、音频视频、卡通动漫等群众喜闻乐见的形式，丰富解读。同时发挥微信公众号等多样的公开形式，积极推进政务新媒体健康有序发展，并逐步建立健全政务新媒体的相关工作制度，从而有效拓宽政务公开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210" w:afterAutospacing="0" w:line="495" w:lineRule="atLeast"/>
        <w:ind w:left="300" w:right="300" w:firstLine="420"/>
        <w:rPr>
          <w:rFonts w:hint="eastAsia" w:ascii="楷体" w:hAnsi="楷体" w:eastAsia="楷体" w:cs="楷体"/>
          <w:i w:val="0"/>
          <w:caps w:val="0"/>
          <w:color w:val="222222"/>
          <w:spacing w:val="0"/>
          <w:sz w:val="32"/>
          <w:szCs w:val="32"/>
        </w:rPr>
      </w:pPr>
      <w:r>
        <w:rPr>
          <w:rFonts w:hint="eastAsia" w:ascii="楷体" w:hAnsi="楷体" w:eastAsia="楷体" w:cs="楷体"/>
          <w:i w:val="0"/>
          <w:caps w:val="0"/>
          <w:color w:val="222222"/>
          <w:spacing w:val="0"/>
          <w:sz w:val="32"/>
          <w:szCs w:val="32"/>
        </w:rPr>
        <w:t>六、无其他需要说明的事项</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C971E2"/>
    <w:rsid w:val="3DF30612"/>
    <w:rsid w:val="5CC97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9"/>
    <w:pPr>
      <w:keepNext/>
      <w:keepLines/>
      <w:spacing w:before="280" w:after="290" w:line="376" w:lineRule="auto"/>
      <w:outlineLvl w:val="3"/>
    </w:pPr>
    <w:rPr>
      <w:rFonts w:ascii="Arial" w:hAnsi="Arial" w:eastAsia="黑体"/>
      <w:b/>
      <w:bCs/>
      <w:sz w:val="28"/>
      <w:szCs w:val="28"/>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2020-08-04T03:41:00Z</dcterms:created>
  <dc:creator>飘逸的太阳花</dc:creator>
  <cp:lastModifiedBy>飘逸的太阳花</cp:lastModifiedBy>
  <dcterms:modified xsi:type="dcterms:W3CDTF">2020-08-04T03:48:37Z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