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44"/>
          <w:szCs w:val="44"/>
        </w:rPr>
      </w:pP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白银市平川区2020年政府信息公开工作</w:t>
      </w: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年度报告</w:t>
      </w:r>
    </w:p>
    <w:p>
      <w:pPr>
        <w:spacing w:line="560" w:lineRule="exact"/>
        <w:ind w:firstLine="640" w:firstLineChars="200"/>
        <w:rPr>
          <w:rFonts w:ascii="仿宋" w:hAnsi="仿宋" w:eastAsia="仿宋"/>
          <w:color w:val="000000"/>
          <w:sz w:val="32"/>
          <w:szCs w:val="32"/>
        </w:rPr>
      </w:pPr>
    </w:p>
    <w:p>
      <w:pPr>
        <w:spacing w:line="560" w:lineRule="exact"/>
        <w:ind w:firstLine="640" w:firstLineChars="200"/>
        <w:rPr>
          <w:rFonts w:ascii="仿宋" w:hAnsi="仿宋" w:eastAsia="仿宋"/>
          <w:sz w:val="32"/>
          <w:szCs w:val="32"/>
        </w:rPr>
      </w:pPr>
      <w:r>
        <w:rPr>
          <w:rFonts w:ascii="仿宋" w:hAnsi="仿宋" w:eastAsia="仿宋"/>
          <w:color w:val="000000"/>
          <w:sz w:val="32"/>
          <w:szCs w:val="32"/>
        </w:rPr>
        <w:t>2020</w:t>
      </w:r>
      <w:r>
        <w:rPr>
          <w:rFonts w:hint="eastAsia" w:ascii="仿宋" w:hAnsi="仿宋" w:eastAsia="仿宋"/>
          <w:color w:val="000000"/>
          <w:sz w:val="32"/>
          <w:szCs w:val="32"/>
        </w:rPr>
        <w:t>年，我</w:t>
      </w:r>
      <w:r>
        <w:rPr>
          <w:rFonts w:hint="eastAsia" w:ascii="仿宋" w:hAnsi="仿宋" w:eastAsia="仿宋"/>
          <w:sz w:val="32"/>
          <w:szCs w:val="32"/>
        </w:rPr>
        <w:t>区以习近平新时代中国特色社会主义思想为指导，认真学习党的十九大和习近平总书记系列</w:t>
      </w:r>
      <w:r>
        <w:rPr>
          <w:rFonts w:hint="eastAsia" w:ascii="仿宋" w:hAnsi="仿宋" w:eastAsia="仿宋"/>
          <w:sz w:val="32"/>
          <w:szCs w:val="32"/>
          <w:lang w:eastAsia="zh-CN"/>
        </w:rPr>
        <w:t>重要</w:t>
      </w:r>
      <w:bookmarkStart w:id="0" w:name="_GoBack"/>
      <w:bookmarkEnd w:id="0"/>
      <w:r>
        <w:rPr>
          <w:rFonts w:hint="eastAsia" w:ascii="仿宋" w:hAnsi="仿宋" w:eastAsia="仿宋"/>
          <w:sz w:val="32"/>
          <w:szCs w:val="32"/>
        </w:rPr>
        <w:t>讲话精神，严格贯彻落实新修订的《政府信息公开条例》，深入落实省市政务公开工作会议精神，进一步规范公开内容，加大主动公开、政策解读、新媒体监管力度，推进政务公开工作有序有效开展。</w:t>
      </w:r>
      <w:r>
        <w:rPr>
          <w:rFonts w:ascii="仿宋" w:hAnsi="仿宋" w:eastAsia="仿宋"/>
          <w:sz w:val="32"/>
          <w:szCs w:val="32"/>
        </w:rPr>
        <w:t>2020</w:t>
      </w:r>
      <w:r>
        <w:rPr>
          <w:rFonts w:hint="eastAsia" w:ascii="仿宋" w:hAnsi="仿宋" w:eastAsia="仿宋"/>
          <w:sz w:val="32"/>
          <w:szCs w:val="32"/>
        </w:rPr>
        <w:t>信息公开工作年度报告，据统计期限为</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日至</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日。登陆平川区人民政府门户网（</w:t>
      </w:r>
      <w:r>
        <w:rPr>
          <w:rFonts w:ascii="仿宋" w:hAnsi="仿宋" w:eastAsia="仿宋"/>
          <w:sz w:val="32"/>
          <w:szCs w:val="32"/>
        </w:rPr>
        <w:t>www.bypc.gov.cn</w:t>
      </w:r>
      <w:r>
        <w:rPr>
          <w:rFonts w:hint="eastAsia" w:ascii="仿宋" w:hAnsi="仿宋" w:eastAsia="仿宋"/>
          <w:sz w:val="32"/>
          <w:szCs w:val="32"/>
        </w:rPr>
        <w:t>）“政府信息公开”栏目可查阅、下载本报告电子版，如对本报告有任何疑问，请联系平川区电子政务办公室，电话：</w:t>
      </w:r>
      <w:r>
        <w:rPr>
          <w:rFonts w:ascii="仿宋" w:hAnsi="仿宋" w:eastAsia="仿宋"/>
          <w:sz w:val="32"/>
          <w:szCs w:val="32"/>
        </w:rPr>
        <w:t>0943-6670169</w:t>
      </w:r>
      <w:r>
        <w:rPr>
          <w:rFonts w:hint="eastAsia" w:ascii="仿宋" w:hAnsi="仿宋" w:eastAsia="仿宋"/>
          <w:sz w:val="32"/>
          <w:szCs w:val="32"/>
        </w:rPr>
        <w:t>，电子邮箱：</w:t>
      </w:r>
      <w:r>
        <w:rPr>
          <w:rFonts w:ascii="仿宋" w:hAnsi="仿宋" w:eastAsia="仿宋"/>
          <w:sz w:val="32"/>
          <w:szCs w:val="32"/>
        </w:rPr>
        <w:t>pcqzwgk@126.com</w:t>
      </w:r>
      <w:r>
        <w:rPr>
          <w:rFonts w:hint="eastAsia" w:ascii="仿宋" w:hAnsi="仿宋" w:eastAsia="仿宋"/>
          <w:sz w:val="32"/>
          <w:szCs w:val="32"/>
        </w:rPr>
        <w:t>。</w:t>
      </w:r>
    </w:p>
    <w:p>
      <w:pPr>
        <w:widowControl/>
        <w:spacing w:before="362" w:after="210" w:line="560" w:lineRule="exact"/>
        <w:ind w:right="300"/>
        <w:jc w:val="left"/>
        <w:rPr>
          <w:rFonts w:ascii="黑体" w:hAnsi="黑体" w:eastAsia="黑体" w:cs="黑体"/>
          <w:color w:val="222222"/>
          <w:kern w:val="0"/>
          <w:sz w:val="32"/>
          <w:szCs w:val="32"/>
        </w:rPr>
      </w:pPr>
      <w:r>
        <w:rPr>
          <w:rFonts w:hint="eastAsia" w:ascii="黑体" w:hAnsi="黑体" w:eastAsia="黑体" w:cs="黑体"/>
          <w:color w:val="222222"/>
          <w:kern w:val="0"/>
          <w:sz w:val="32"/>
          <w:szCs w:val="32"/>
        </w:rPr>
        <w:t>一、总体情况：</w:t>
      </w:r>
    </w:p>
    <w:p>
      <w:pPr>
        <w:widowControl/>
        <w:spacing w:before="362" w:after="210" w:line="560" w:lineRule="exact"/>
        <w:ind w:right="300" w:firstLine="643" w:firstLineChars="200"/>
        <w:jc w:val="left"/>
        <w:rPr>
          <w:rFonts w:ascii="黑体" w:hAnsi="黑体" w:eastAsia="黑体" w:cs="黑体"/>
          <w:color w:val="222222"/>
          <w:kern w:val="0"/>
          <w:sz w:val="32"/>
          <w:szCs w:val="32"/>
        </w:rPr>
      </w:pPr>
      <w:r>
        <w:rPr>
          <w:rFonts w:hint="eastAsia" w:ascii="楷体" w:hAnsi="楷体" w:eastAsia="楷体" w:cs="楷体"/>
          <w:b/>
          <w:bCs/>
          <w:color w:val="222222"/>
          <w:sz w:val="32"/>
          <w:szCs w:val="32"/>
        </w:rPr>
        <w:t>（一）强化组织领导和制度保障。</w:t>
      </w:r>
      <w:r>
        <w:rPr>
          <w:rFonts w:hint="eastAsia" w:ascii="仿宋" w:hAnsi="仿宋" w:eastAsia="仿宋"/>
          <w:sz w:val="32"/>
          <w:szCs w:val="32"/>
        </w:rPr>
        <w:t>平川区下发了《白银市平川区人民政府关于调整平川区政务公开领导小组的通知》，同时区政府八届第</w:t>
      </w:r>
      <w:r>
        <w:rPr>
          <w:rFonts w:ascii="仿宋" w:hAnsi="仿宋" w:eastAsia="仿宋"/>
          <w:sz w:val="32"/>
          <w:szCs w:val="32"/>
        </w:rPr>
        <w:t>54</w:t>
      </w:r>
      <w:r>
        <w:rPr>
          <w:rFonts w:hint="eastAsia" w:ascii="仿宋" w:hAnsi="仿宋" w:eastAsia="仿宋"/>
          <w:sz w:val="32"/>
          <w:szCs w:val="32"/>
        </w:rPr>
        <w:t>次常务会传达学习了《甘肃省政务公开工作实施方案》，研究提出了</w:t>
      </w:r>
      <w:r>
        <w:rPr>
          <w:rFonts w:ascii="仿宋" w:hAnsi="仿宋" w:eastAsia="仿宋"/>
          <w:sz w:val="32"/>
          <w:szCs w:val="32"/>
        </w:rPr>
        <w:t>8</w:t>
      </w:r>
      <w:r>
        <w:rPr>
          <w:rFonts w:hint="eastAsia" w:ascii="仿宋" w:hAnsi="仿宋" w:eastAsia="仿宋"/>
          <w:sz w:val="32"/>
          <w:szCs w:val="32"/>
        </w:rPr>
        <w:t>条贯彻落实意见，制定印发《平川区</w:t>
      </w:r>
      <w:r>
        <w:rPr>
          <w:rFonts w:ascii="仿宋" w:hAnsi="仿宋" w:eastAsia="仿宋"/>
          <w:sz w:val="32"/>
          <w:szCs w:val="32"/>
        </w:rPr>
        <w:t>2020</w:t>
      </w:r>
      <w:r>
        <w:rPr>
          <w:rFonts w:hint="eastAsia" w:ascii="仿宋" w:hAnsi="仿宋" w:eastAsia="仿宋"/>
          <w:sz w:val="32"/>
          <w:szCs w:val="32"/>
        </w:rPr>
        <w:t>年政务公开工作实施方案》《平川区人民政府信息公开指南》，指导全区推进阳光政务，提升政务公开质量。</w:t>
      </w:r>
      <w:r>
        <w:rPr>
          <w:rFonts w:ascii="仿宋" w:hAnsi="仿宋" w:eastAsia="仿宋"/>
          <w:sz w:val="32"/>
          <w:szCs w:val="32"/>
        </w:rPr>
        <w:t>11</w:t>
      </w:r>
      <w:r>
        <w:rPr>
          <w:rFonts w:hint="eastAsia" w:ascii="仿宋" w:hAnsi="仿宋" w:eastAsia="仿宋"/>
          <w:sz w:val="32"/>
          <w:szCs w:val="32"/>
        </w:rPr>
        <w:t>月召开区政务公开领导小组会议，传达学习全国、省、市会议精神，总结工作开展情况，通报存在问题，部署推进全区政务公开工作。组织开展政务公开工作业务培训</w:t>
      </w:r>
      <w:r>
        <w:rPr>
          <w:rFonts w:ascii="仿宋" w:hAnsi="仿宋" w:eastAsia="仿宋"/>
          <w:sz w:val="32"/>
          <w:szCs w:val="32"/>
        </w:rPr>
        <w:t>100</w:t>
      </w:r>
      <w:r>
        <w:rPr>
          <w:rFonts w:hint="eastAsia" w:ascii="仿宋" w:hAnsi="仿宋" w:eastAsia="仿宋"/>
          <w:sz w:val="32"/>
          <w:szCs w:val="32"/>
        </w:rPr>
        <w:t>余人次。加大政务公开考核力度，把政府信息公开工作纳入政府绩效考核体系，分值权重达到</w:t>
      </w:r>
      <w:r>
        <w:rPr>
          <w:rFonts w:ascii="仿宋" w:hAnsi="仿宋" w:eastAsia="仿宋"/>
          <w:sz w:val="32"/>
          <w:szCs w:val="32"/>
        </w:rPr>
        <w:t>1.5</w:t>
      </w:r>
      <w:r>
        <w:rPr>
          <w:rFonts w:hint="eastAsia" w:ascii="仿宋" w:hAnsi="仿宋" w:eastAsia="仿宋"/>
          <w:sz w:val="32"/>
          <w:szCs w:val="32"/>
        </w:rPr>
        <w:t>℅。</w:t>
      </w:r>
    </w:p>
    <w:p>
      <w:pPr>
        <w:widowControl/>
        <w:spacing w:before="362" w:after="210" w:line="560" w:lineRule="exact"/>
        <w:ind w:right="300" w:firstLine="643" w:firstLineChars="200"/>
        <w:jc w:val="left"/>
        <w:rPr>
          <w:rFonts w:ascii="仿宋" w:hAnsi="仿宋" w:eastAsia="仿宋"/>
          <w:sz w:val="32"/>
          <w:szCs w:val="32"/>
        </w:rPr>
      </w:pPr>
      <w:r>
        <w:rPr>
          <w:rFonts w:hint="eastAsia" w:ascii="楷体" w:hAnsi="楷体" w:eastAsia="楷体" w:cs="楷体"/>
          <w:b/>
          <w:bCs/>
          <w:color w:val="222222"/>
          <w:kern w:val="0"/>
          <w:sz w:val="32"/>
          <w:szCs w:val="32"/>
        </w:rPr>
        <w:t>（二）规范政府信息发布和管理。</w:t>
      </w:r>
      <w:r>
        <w:rPr>
          <w:rFonts w:hint="eastAsia" w:ascii="仿宋" w:hAnsi="仿宋" w:eastAsia="仿宋"/>
          <w:sz w:val="32"/>
          <w:szCs w:val="32"/>
        </w:rPr>
        <w:t>对照新修订《条例》，制度了《平川区人民政府信息公开属性源头认定制度》、《平川区政府信息公开巡查制度》，进一步完善了我区政府信息公开制度。提高信息发布的时效性、完整性、统一性和逻辑性，实现重点领域信息公开全覆盖、无空白、不漏项。按照“谁主管、谁审批、谁负责”的原则，对公开的内容进行认真审查。</w:t>
      </w:r>
      <w:r>
        <w:rPr>
          <w:rFonts w:ascii="仿宋" w:hAnsi="仿宋" w:eastAsia="仿宋"/>
          <w:sz w:val="32"/>
          <w:szCs w:val="32"/>
        </w:rPr>
        <w:t>2020</w:t>
      </w:r>
      <w:r>
        <w:rPr>
          <w:rFonts w:hint="eastAsia" w:ascii="仿宋" w:hAnsi="仿宋" w:eastAsia="仿宋"/>
          <w:sz w:val="32"/>
          <w:szCs w:val="32"/>
        </w:rPr>
        <w:t>年全区主动公开政府各类信息</w:t>
      </w:r>
      <w:r>
        <w:rPr>
          <w:rFonts w:ascii="仿宋" w:hAnsi="仿宋" w:eastAsia="仿宋"/>
          <w:sz w:val="32"/>
          <w:szCs w:val="32"/>
        </w:rPr>
        <w:t>15007</w:t>
      </w:r>
      <w:r>
        <w:rPr>
          <w:rFonts w:hint="eastAsia" w:ascii="仿宋" w:hAnsi="仿宋" w:eastAsia="仿宋"/>
          <w:sz w:val="32"/>
          <w:szCs w:val="32"/>
        </w:rPr>
        <w:t>条。其中区直各单位主动公开信息</w:t>
      </w:r>
      <w:r>
        <w:rPr>
          <w:rFonts w:ascii="仿宋" w:hAnsi="仿宋" w:eastAsia="仿宋"/>
          <w:sz w:val="32"/>
          <w:szCs w:val="32"/>
        </w:rPr>
        <w:t>6752</w:t>
      </w:r>
      <w:r>
        <w:rPr>
          <w:rFonts w:hint="eastAsia" w:ascii="仿宋" w:hAnsi="仿宋" w:eastAsia="仿宋"/>
          <w:sz w:val="32"/>
          <w:szCs w:val="32"/>
        </w:rPr>
        <w:t>条，乡镇政府主动公开信息</w:t>
      </w:r>
      <w:r>
        <w:rPr>
          <w:rFonts w:ascii="仿宋" w:hAnsi="仿宋" w:eastAsia="仿宋"/>
          <w:sz w:val="32"/>
          <w:szCs w:val="32"/>
        </w:rPr>
        <w:t>7240</w:t>
      </w:r>
      <w:r>
        <w:rPr>
          <w:rFonts w:hint="eastAsia" w:ascii="仿宋" w:hAnsi="仿宋" w:eastAsia="仿宋"/>
          <w:sz w:val="32"/>
          <w:szCs w:val="32"/>
        </w:rPr>
        <w:t>条，重点领域信息公开</w:t>
      </w:r>
      <w:r>
        <w:rPr>
          <w:rFonts w:ascii="仿宋" w:hAnsi="仿宋" w:eastAsia="仿宋"/>
          <w:sz w:val="32"/>
          <w:szCs w:val="32"/>
        </w:rPr>
        <w:t>162</w:t>
      </w:r>
      <w:r>
        <w:rPr>
          <w:rFonts w:hint="eastAsia" w:ascii="仿宋" w:hAnsi="仿宋" w:eastAsia="仿宋"/>
          <w:sz w:val="32"/>
          <w:szCs w:val="32"/>
        </w:rPr>
        <w:t>条，公共卫生信息</w:t>
      </w:r>
      <w:r>
        <w:rPr>
          <w:rFonts w:ascii="仿宋" w:hAnsi="仿宋" w:eastAsia="仿宋"/>
          <w:sz w:val="32"/>
          <w:szCs w:val="32"/>
        </w:rPr>
        <w:t>83</w:t>
      </w:r>
      <w:r>
        <w:rPr>
          <w:rFonts w:hint="eastAsia" w:ascii="仿宋" w:hAnsi="仿宋" w:eastAsia="仿宋"/>
          <w:sz w:val="32"/>
          <w:szCs w:val="32"/>
        </w:rPr>
        <w:t>条，民生工程领域信息公开</w:t>
      </w:r>
      <w:r>
        <w:rPr>
          <w:rFonts w:ascii="仿宋" w:hAnsi="仿宋" w:eastAsia="仿宋"/>
          <w:sz w:val="32"/>
          <w:szCs w:val="32"/>
        </w:rPr>
        <w:t>676</w:t>
      </w:r>
      <w:r>
        <w:rPr>
          <w:rFonts w:hint="eastAsia" w:ascii="仿宋" w:hAnsi="仿宋" w:eastAsia="仿宋"/>
          <w:sz w:val="32"/>
          <w:szCs w:val="32"/>
        </w:rPr>
        <w:t>条，行政执法信息公开</w:t>
      </w:r>
      <w:r>
        <w:rPr>
          <w:rFonts w:ascii="仿宋" w:hAnsi="仿宋" w:eastAsia="仿宋"/>
          <w:sz w:val="32"/>
          <w:szCs w:val="32"/>
        </w:rPr>
        <w:t>81</w:t>
      </w:r>
      <w:r>
        <w:rPr>
          <w:rFonts w:hint="eastAsia" w:ascii="仿宋" w:hAnsi="仿宋" w:eastAsia="仿宋"/>
          <w:sz w:val="32"/>
          <w:szCs w:val="32"/>
        </w:rPr>
        <w:t>条，放管服相关信息公开</w:t>
      </w:r>
      <w:r>
        <w:rPr>
          <w:rFonts w:ascii="仿宋" w:hAnsi="仿宋" w:eastAsia="仿宋"/>
          <w:sz w:val="32"/>
          <w:szCs w:val="32"/>
        </w:rPr>
        <w:t>13</w:t>
      </w:r>
      <w:r>
        <w:rPr>
          <w:rFonts w:hint="eastAsia" w:ascii="仿宋" w:hAnsi="仿宋" w:eastAsia="仿宋"/>
          <w:sz w:val="32"/>
          <w:szCs w:val="32"/>
        </w:rPr>
        <w:t>条。公开区政府常务会议</w:t>
      </w:r>
      <w:r>
        <w:rPr>
          <w:rFonts w:ascii="仿宋" w:hAnsi="仿宋" w:eastAsia="仿宋"/>
          <w:sz w:val="32"/>
          <w:szCs w:val="32"/>
        </w:rPr>
        <w:t>23</w:t>
      </w:r>
      <w:r>
        <w:rPr>
          <w:rFonts w:hint="eastAsia" w:ascii="仿宋" w:hAnsi="仿宋" w:eastAsia="仿宋"/>
          <w:sz w:val="32"/>
          <w:szCs w:val="32"/>
        </w:rPr>
        <w:t>次，公开政府文件</w:t>
      </w:r>
      <w:r>
        <w:rPr>
          <w:rFonts w:ascii="仿宋" w:hAnsi="仿宋" w:eastAsia="仿宋"/>
          <w:sz w:val="32"/>
          <w:szCs w:val="32"/>
        </w:rPr>
        <w:t>74</w:t>
      </w:r>
      <w:r>
        <w:rPr>
          <w:rFonts w:hint="eastAsia" w:ascii="仿宋" w:hAnsi="仿宋" w:eastAsia="仿宋"/>
          <w:sz w:val="32"/>
          <w:szCs w:val="32"/>
        </w:rPr>
        <w:t>份。</w:t>
      </w:r>
    </w:p>
    <w:p>
      <w:pPr>
        <w:widowControl/>
        <w:spacing w:before="150" w:line="560" w:lineRule="exact"/>
        <w:ind w:right="300" w:firstLine="643" w:firstLineChars="200"/>
        <w:jc w:val="left"/>
        <w:rPr>
          <w:rFonts w:ascii="仿宋" w:hAnsi="仿宋" w:eastAsia="仿宋"/>
          <w:sz w:val="32"/>
          <w:szCs w:val="32"/>
        </w:rPr>
      </w:pPr>
      <w:r>
        <w:rPr>
          <w:rFonts w:hint="eastAsia" w:ascii="楷体" w:hAnsi="楷体" w:eastAsia="楷体" w:cs="楷体"/>
          <w:b/>
          <w:bCs/>
          <w:color w:val="222222"/>
          <w:kern w:val="0"/>
          <w:sz w:val="32"/>
          <w:szCs w:val="32"/>
        </w:rPr>
        <w:t>（三）实施政务公开平台规范化建设</w:t>
      </w:r>
      <w:r>
        <w:rPr>
          <w:rFonts w:hint="eastAsia" w:ascii="仿宋" w:hAnsi="仿宋" w:eastAsia="仿宋"/>
          <w:sz w:val="32"/>
          <w:szCs w:val="32"/>
        </w:rPr>
        <w:t>。按照省信息公开办《关于政府信息公开平台规范建设进展等有关事项的通知》要求，完成我区政务信息公开平台改版运行，梳理编制完成区级</w:t>
      </w:r>
      <w:r>
        <w:rPr>
          <w:rFonts w:ascii="仿宋" w:hAnsi="仿宋" w:eastAsia="仿宋"/>
          <w:sz w:val="32"/>
          <w:szCs w:val="32"/>
        </w:rPr>
        <w:t>26</w:t>
      </w:r>
      <w:r>
        <w:rPr>
          <w:rFonts w:hint="eastAsia" w:ascii="仿宋" w:hAnsi="仿宋" w:eastAsia="仿宋"/>
          <w:sz w:val="32"/>
          <w:szCs w:val="32"/>
        </w:rPr>
        <w:t>个试点领域和乡镇街道的《平川区基层政务公开标准目录》，并在区政府门户网站“政府信息公开”平台集中发布。实现政府信息公开专栏按照全省标准统一名称、统一格式、规范栏目内容，优化栏目页面设置，完善信息检索和下载服务，实现栏目数据互联互通，方便公众获取信息。</w:t>
      </w:r>
    </w:p>
    <w:p>
      <w:pPr>
        <w:spacing w:line="560" w:lineRule="exact"/>
        <w:ind w:firstLine="643" w:firstLineChars="200"/>
        <w:rPr>
          <w:rFonts w:ascii="仿宋" w:hAnsi="仿宋" w:eastAsia="仿宋"/>
          <w:sz w:val="32"/>
          <w:szCs w:val="32"/>
        </w:rPr>
      </w:pPr>
      <w:r>
        <w:rPr>
          <w:rFonts w:hint="eastAsia" w:ascii="楷体" w:hAnsi="楷体" w:eastAsia="楷体" w:cs="楷体"/>
          <w:b/>
          <w:bCs/>
          <w:color w:val="222222"/>
          <w:kern w:val="0"/>
          <w:sz w:val="32"/>
          <w:szCs w:val="32"/>
        </w:rPr>
        <w:t>（四）改进政策发布解读工作。</w:t>
      </w:r>
      <w:r>
        <w:rPr>
          <w:rFonts w:hint="eastAsia" w:ascii="仿宋" w:hAnsi="仿宋" w:eastAsia="仿宋"/>
          <w:sz w:val="32"/>
          <w:szCs w:val="32"/>
        </w:rPr>
        <w:t>重点加大“六稳”“六保”政策解读力度，释放更多积极信号，提振市场信心，转载“中国政府网”和“中国甘肃”门户网站发布的对全区工作有指导意义、需要社会广泛知晓的重要政策信息总计</w:t>
      </w:r>
      <w:r>
        <w:rPr>
          <w:rFonts w:ascii="仿宋" w:hAnsi="仿宋" w:eastAsia="仿宋"/>
          <w:sz w:val="32"/>
          <w:szCs w:val="32"/>
        </w:rPr>
        <w:t>172</w:t>
      </w:r>
      <w:r>
        <w:rPr>
          <w:rFonts w:hint="eastAsia" w:ascii="仿宋" w:hAnsi="仿宋" w:eastAsia="仿宋"/>
          <w:sz w:val="32"/>
          <w:szCs w:val="32"/>
        </w:rPr>
        <w:t>次。对涉及面广与群众切身利益密切、社会关注度高的以区政府或区政府办名义印发的重要政策文件进行解读，全年区各级领导解读有关政策文件</w:t>
      </w:r>
      <w:r>
        <w:rPr>
          <w:rFonts w:ascii="仿宋" w:hAnsi="仿宋" w:eastAsia="仿宋"/>
          <w:sz w:val="32"/>
          <w:szCs w:val="32"/>
        </w:rPr>
        <w:t>31</w:t>
      </w:r>
      <w:r>
        <w:rPr>
          <w:rFonts w:hint="eastAsia" w:ascii="仿宋" w:hAnsi="仿宋" w:eastAsia="仿宋"/>
          <w:sz w:val="32"/>
          <w:szCs w:val="32"/>
        </w:rPr>
        <w:t>次。进一步丰富解读形式，突出以图解的形式对《</w:t>
      </w:r>
      <w:r>
        <w:rPr>
          <w:rFonts w:ascii="仿宋" w:hAnsi="仿宋" w:eastAsia="仿宋"/>
          <w:sz w:val="32"/>
          <w:szCs w:val="32"/>
        </w:rPr>
        <w:t>2020</w:t>
      </w:r>
      <w:r>
        <w:rPr>
          <w:rFonts w:hint="eastAsia" w:ascii="仿宋" w:hAnsi="仿宋" w:eastAsia="仿宋"/>
          <w:sz w:val="32"/>
          <w:szCs w:val="32"/>
        </w:rPr>
        <w:t>平川区政府工作报告》、《平川区</w:t>
      </w:r>
      <w:r>
        <w:rPr>
          <w:rFonts w:ascii="仿宋" w:hAnsi="仿宋" w:eastAsia="仿宋"/>
          <w:sz w:val="32"/>
          <w:szCs w:val="32"/>
        </w:rPr>
        <w:t>2020</w:t>
      </w:r>
      <w:r>
        <w:rPr>
          <w:rFonts w:hint="eastAsia" w:ascii="仿宋" w:hAnsi="仿宋" w:eastAsia="仿宋"/>
          <w:sz w:val="32"/>
          <w:szCs w:val="32"/>
        </w:rPr>
        <w:t>年深化“放管服”改革优化营商环境工作要点》、《平川区</w:t>
      </w:r>
      <w:r>
        <w:rPr>
          <w:rFonts w:ascii="仿宋" w:hAnsi="仿宋" w:eastAsia="仿宋"/>
          <w:sz w:val="32"/>
          <w:szCs w:val="32"/>
        </w:rPr>
        <w:t>2020</w:t>
      </w:r>
      <w:r>
        <w:rPr>
          <w:rFonts w:hint="eastAsia" w:ascii="仿宋" w:hAnsi="仿宋" w:eastAsia="仿宋"/>
          <w:sz w:val="32"/>
          <w:szCs w:val="32"/>
        </w:rPr>
        <w:t>年政务公开工作实施方案》进行了解读，提升了解读质量。</w:t>
      </w:r>
    </w:p>
    <w:p>
      <w:pPr>
        <w:spacing w:line="560" w:lineRule="exact"/>
        <w:ind w:firstLine="643" w:firstLineChars="200"/>
        <w:rPr>
          <w:rFonts w:ascii="仿宋" w:hAnsi="仿宋" w:eastAsia="仿宋"/>
          <w:sz w:val="32"/>
          <w:szCs w:val="32"/>
        </w:rPr>
      </w:pPr>
      <w:r>
        <w:rPr>
          <w:rFonts w:hint="eastAsia" w:ascii="楷体" w:hAnsi="楷体" w:eastAsia="楷体" w:cs="楷体"/>
          <w:b/>
          <w:bCs/>
          <w:color w:val="222222"/>
          <w:kern w:val="0"/>
          <w:sz w:val="32"/>
          <w:szCs w:val="32"/>
        </w:rPr>
        <w:t>（五）完善依申请公开办理流程。</w:t>
      </w:r>
      <w:r>
        <w:rPr>
          <w:rFonts w:hint="eastAsia" w:ascii="仿宋" w:hAnsi="仿宋" w:eastAsia="仿宋"/>
          <w:sz w:val="32"/>
          <w:szCs w:val="32"/>
        </w:rPr>
        <w:t>进一步完善依申请工作制度，推行标准文本，规范依申请公开登记、审核、办理、答复、送达、归档环节，规范答复形式，畅通依申请公开线上系统、电话信件、电子邮箱、当面申请受理渠道，提升人民群众的满意度。</w:t>
      </w:r>
      <w:r>
        <w:rPr>
          <w:rFonts w:ascii="仿宋" w:hAnsi="仿宋" w:eastAsia="仿宋"/>
          <w:sz w:val="32"/>
          <w:szCs w:val="32"/>
        </w:rPr>
        <w:t>2020</w:t>
      </w:r>
      <w:r>
        <w:rPr>
          <w:rFonts w:hint="eastAsia" w:ascii="仿宋" w:hAnsi="仿宋" w:eastAsia="仿宋"/>
          <w:sz w:val="32"/>
          <w:szCs w:val="32"/>
        </w:rPr>
        <w:t>年共收到依申请</w:t>
      </w:r>
      <w:r>
        <w:rPr>
          <w:rFonts w:ascii="仿宋" w:hAnsi="仿宋" w:eastAsia="仿宋"/>
          <w:sz w:val="32"/>
          <w:szCs w:val="32"/>
        </w:rPr>
        <w:t>3</w:t>
      </w:r>
      <w:r>
        <w:rPr>
          <w:rFonts w:hint="eastAsia" w:ascii="仿宋" w:hAnsi="仿宋" w:eastAsia="仿宋"/>
          <w:sz w:val="32"/>
          <w:szCs w:val="32"/>
        </w:rPr>
        <w:t>件，其中电子邮件申请</w:t>
      </w:r>
      <w:r>
        <w:rPr>
          <w:rFonts w:ascii="仿宋" w:hAnsi="仿宋" w:eastAsia="仿宋"/>
          <w:sz w:val="32"/>
          <w:szCs w:val="32"/>
        </w:rPr>
        <w:t>1</w:t>
      </w:r>
      <w:r>
        <w:rPr>
          <w:rFonts w:hint="eastAsia" w:ascii="仿宋" w:hAnsi="仿宋" w:eastAsia="仿宋"/>
          <w:sz w:val="32"/>
          <w:szCs w:val="32"/>
        </w:rPr>
        <w:t>件，信函申请</w:t>
      </w:r>
      <w:r>
        <w:rPr>
          <w:rFonts w:ascii="仿宋" w:hAnsi="仿宋" w:eastAsia="仿宋"/>
          <w:sz w:val="32"/>
          <w:szCs w:val="32"/>
        </w:rPr>
        <w:t>2</w:t>
      </w:r>
      <w:r>
        <w:rPr>
          <w:rFonts w:hint="eastAsia" w:ascii="仿宋" w:hAnsi="仿宋" w:eastAsia="仿宋"/>
          <w:sz w:val="32"/>
          <w:szCs w:val="32"/>
        </w:rPr>
        <w:t>件，均已按规定程序按期答复申请人。</w:t>
      </w:r>
    </w:p>
    <w:p>
      <w:pPr>
        <w:spacing w:line="560" w:lineRule="exact"/>
        <w:ind w:firstLine="643" w:firstLineChars="200"/>
        <w:rPr>
          <w:rFonts w:ascii="仿宋_GB2312" w:hAnsi="楷体" w:eastAsia="仿宋_GB2312"/>
          <w:sz w:val="32"/>
          <w:szCs w:val="32"/>
        </w:rPr>
      </w:pPr>
      <w:r>
        <w:rPr>
          <w:rFonts w:hint="eastAsia" w:ascii="楷体" w:hAnsi="楷体" w:eastAsia="楷体"/>
          <w:b/>
          <w:sz w:val="32"/>
          <w:szCs w:val="32"/>
        </w:rPr>
        <w:t>（六）规范政务新媒体管理。</w:t>
      </w:r>
      <w:r>
        <w:rPr>
          <w:rFonts w:hint="eastAsia" w:ascii="仿宋_GB2312" w:hAnsi="楷体" w:eastAsia="仿宋_GB2312"/>
          <w:sz w:val="32"/>
          <w:szCs w:val="32"/>
        </w:rPr>
        <w:t>严格要求落实省、市政府信息公开办《关于做好政务新媒体工作的通知》要求，全面摸清全区政务新媒体底数，建立台账，</w:t>
      </w:r>
      <w:r>
        <w:rPr>
          <w:rFonts w:ascii="仿宋_GB2312" w:hAnsi="楷体" w:eastAsia="仿宋_GB2312"/>
          <w:sz w:val="32"/>
          <w:szCs w:val="32"/>
        </w:rPr>
        <w:t>2020</w:t>
      </w:r>
      <w:r>
        <w:rPr>
          <w:rFonts w:hint="eastAsia" w:ascii="仿宋_GB2312" w:hAnsi="楷体" w:eastAsia="仿宋_GB2312"/>
          <w:sz w:val="32"/>
          <w:szCs w:val="32"/>
        </w:rPr>
        <w:t>年新开设政务新媒体</w:t>
      </w:r>
      <w:r>
        <w:rPr>
          <w:rFonts w:ascii="仿宋_GB2312" w:hAnsi="楷体" w:eastAsia="仿宋_GB2312"/>
          <w:sz w:val="32"/>
          <w:szCs w:val="32"/>
        </w:rPr>
        <w:t>37</w:t>
      </w:r>
      <w:r>
        <w:rPr>
          <w:rFonts w:hint="eastAsia" w:ascii="仿宋_GB2312" w:hAnsi="楷体" w:eastAsia="仿宋_GB2312"/>
          <w:sz w:val="32"/>
          <w:szCs w:val="32"/>
        </w:rPr>
        <w:t>家，清理关停“僵尸”“睡眠”“雷人雷雨”“不互动无服务”政务新媒体</w:t>
      </w:r>
      <w:r>
        <w:rPr>
          <w:rFonts w:ascii="仿宋_GB2312" w:hAnsi="楷体" w:eastAsia="仿宋_GB2312"/>
          <w:sz w:val="32"/>
          <w:szCs w:val="32"/>
        </w:rPr>
        <w:t>2</w:t>
      </w:r>
      <w:r>
        <w:rPr>
          <w:rFonts w:hint="eastAsia" w:ascii="仿宋_GB2312" w:hAnsi="楷体" w:eastAsia="仿宋_GB2312"/>
          <w:sz w:val="32"/>
          <w:szCs w:val="32"/>
        </w:rPr>
        <w:t>家，全区现正常运行政务新媒体</w:t>
      </w:r>
      <w:r>
        <w:rPr>
          <w:rFonts w:ascii="仿宋_GB2312" w:hAnsi="楷体" w:eastAsia="仿宋_GB2312"/>
          <w:sz w:val="32"/>
          <w:szCs w:val="32"/>
        </w:rPr>
        <w:t>78</w:t>
      </w:r>
      <w:r>
        <w:rPr>
          <w:rFonts w:hint="eastAsia" w:ascii="仿宋_GB2312" w:hAnsi="楷体" w:eastAsia="仿宋_GB2312"/>
          <w:sz w:val="32"/>
          <w:szCs w:val="32"/>
        </w:rPr>
        <w:t>家，并已全部录入全国政务新媒体管理系统。结合实际，制定了《平川区政务新媒体管理暂行办法》，《平川区政务新媒体信息发布三审制度》，确定专人负责监管，利用手机客户端新媒体管理矩阵，每周监测各新媒体账号运行状态，及时跟进督促各乡镇街道和各部门单位加强内容维护，链接网站增设互动功能，确保栏目及时更新。</w:t>
      </w:r>
    </w:p>
    <w:p>
      <w:pPr>
        <w:spacing w:line="560" w:lineRule="exact"/>
        <w:ind w:firstLine="643" w:firstLineChars="200"/>
        <w:rPr>
          <w:rFonts w:ascii="仿宋" w:hAnsi="仿宋" w:eastAsia="仿宋"/>
          <w:sz w:val="32"/>
          <w:szCs w:val="32"/>
        </w:rPr>
      </w:pPr>
      <w:r>
        <w:rPr>
          <w:rFonts w:hint="eastAsia" w:ascii="楷体" w:hAnsi="楷体" w:eastAsia="楷体" w:cs="楷体"/>
          <w:b/>
          <w:bCs/>
          <w:color w:val="222222"/>
          <w:kern w:val="0"/>
          <w:sz w:val="32"/>
          <w:szCs w:val="32"/>
        </w:rPr>
        <w:t>（七）回应社会关切情况。</w:t>
      </w:r>
      <w:r>
        <w:rPr>
          <w:rFonts w:hint="eastAsia" w:ascii="仿宋" w:hAnsi="仿宋" w:eastAsia="仿宋"/>
          <w:sz w:val="32"/>
          <w:szCs w:val="32"/>
        </w:rPr>
        <w:t>在区政府门户网站上搭建统一的“政民互动”交流平台，实现书记信箱、区长信箱、调查征集、互动访谈、在线调查等功能，为了解民意、回应民声提供平台支撑。同时妥善回应社会关切，及时公开办理留言的情况，群众反映的问题基本得到及时有效解决。</w:t>
      </w:r>
      <w:r>
        <w:rPr>
          <w:rFonts w:ascii="仿宋" w:hAnsi="仿宋" w:eastAsia="仿宋"/>
          <w:sz w:val="32"/>
          <w:szCs w:val="32"/>
        </w:rPr>
        <w:t>2020</w:t>
      </w:r>
      <w:r>
        <w:rPr>
          <w:rFonts w:hint="eastAsia" w:ascii="仿宋" w:hAnsi="仿宋" w:eastAsia="仿宋"/>
          <w:sz w:val="32"/>
          <w:szCs w:val="32"/>
        </w:rPr>
        <w:t>年共接收办理答复市政府网站网民留言</w:t>
      </w:r>
      <w:r>
        <w:rPr>
          <w:rFonts w:ascii="仿宋" w:hAnsi="仿宋" w:eastAsia="仿宋"/>
          <w:sz w:val="32"/>
          <w:szCs w:val="32"/>
        </w:rPr>
        <w:t>37</w:t>
      </w:r>
      <w:r>
        <w:rPr>
          <w:rFonts w:hint="eastAsia" w:ascii="仿宋" w:hAnsi="仿宋" w:eastAsia="仿宋"/>
          <w:sz w:val="32"/>
          <w:szCs w:val="32"/>
        </w:rPr>
        <w:t>条，办结率</w:t>
      </w:r>
      <w:r>
        <w:rPr>
          <w:rFonts w:ascii="仿宋" w:hAnsi="仿宋" w:eastAsia="仿宋"/>
          <w:sz w:val="32"/>
          <w:szCs w:val="32"/>
        </w:rPr>
        <w:t>100%</w:t>
      </w:r>
      <w:r>
        <w:rPr>
          <w:rFonts w:hint="eastAsia" w:ascii="仿宋" w:hAnsi="仿宋" w:eastAsia="仿宋"/>
          <w:sz w:val="32"/>
          <w:szCs w:val="32"/>
        </w:rPr>
        <w:t>；区政府门户网站网民留言</w:t>
      </w:r>
      <w:r>
        <w:rPr>
          <w:rFonts w:ascii="仿宋" w:hAnsi="仿宋" w:eastAsia="仿宋"/>
          <w:sz w:val="32"/>
          <w:szCs w:val="32"/>
        </w:rPr>
        <w:t xml:space="preserve">160 </w:t>
      </w:r>
      <w:r>
        <w:rPr>
          <w:rFonts w:hint="eastAsia" w:ascii="仿宋" w:hAnsi="仿宋" w:eastAsia="仿宋"/>
          <w:sz w:val="32"/>
          <w:szCs w:val="32"/>
        </w:rPr>
        <w:t>件，办结</w:t>
      </w:r>
      <w:r>
        <w:rPr>
          <w:rFonts w:ascii="仿宋" w:hAnsi="仿宋" w:eastAsia="仿宋"/>
          <w:sz w:val="32"/>
          <w:szCs w:val="32"/>
        </w:rPr>
        <w:t xml:space="preserve"> 156</w:t>
      </w:r>
      <w:r>
        <w:rPr>
          <w:rFonts w:hint="eastAsia" w:ascii="仿宋" w:hAnsi="仿宋" w:eastAsia="仿宋"/>
          <w:sz w:val="32"/>
          <w:szCs w:val="32"/>
        </w:rPr>
        <w:t>件，办结率</w:t>
      </w:r>
      <w:r>
        <w:rPr>
          <w:rFonts w:ascii="仿宋" w:hAnsi="仿宋" w:eastAsia="仿宋"/>
          <w:sz w:val="32"/>
          <w:szCs w:val="32"/>
        </w:rPr>
        <w:t xml:space="preserve"> 97.5%</w:t>
      </w:r>
      <w:r>
        <w:rPr>
          <w:rFonts w:hint="eastAsia" w:ascii="仿宋" w:hAnsi="仿宋" w:eastAsia="仿宋"/>
          <w:sz w:val="32"/>
          <w:szCs w:val="32"/>
        </w:rPr>
        <w:t>。</w:t>
      </w:r>
    </w:p>
    <w:p>
      <w:pPr>
        <w:spacing w:line="560" w:lineRule="exact"/>
        <w:ind w:firstLine="643" w:firstLineChars="200"/>
        <w:rPr>
          <w:rFonts w:ascii="仿宋" w:hAnsi="仿宋" w:eastAsia="仿宋"/>
          <w:sz w:val="32"/>
          <w:szCs w:val="32"/>
        </w:rPr>
      </w:pPr>
      <w:r>
        <w:rPr>
          <w:rFonts w:hint="eastAsia" w:ascii="楷体" w:hAnsi="楷体" w:eastAsia="楷体" w:cs="楷体"/>
          <w:b/>
          <w:bCs/>
          <w:color w:val="222222"/>
          <w:kern w:val="0"/>
          <w:sz w:val="32"/>
          <w:szCs w:val="32"/>
        </w:rPr>
        <w:t>（八）严格实行常态化监管。</w:t>
      </w:r>
      <w:r>
        <w:rPr>
          <w:rFonts w:hint="eastAsia" w:ascii="仿宋" w:hAnsi="仿宋" w:eastAsia="仿宋"/>
          <w:sz w:val="32"/>
          <w:szCs w:val="32"/>
        </w:rPr>
        <w:t>切实落实政府网站日常</w:t>
      </w:r>
      <w:r>
        <w:rPr>
          <w:rFonts w:ascii="仿宋" w:hAnsi="仿宋" w:eastAsia="仿宋"/>
          <w:sz w:val="32"/>
          <w:szCs w:val="32"/>
        </w:rPr>
        <w:t>24</w:t>
      </w:r>
      <w:r>
        <w:rPr>
          <w:rFonts w:hint="eastAsia" w:ascii="仿宋" w:hAnsi="仿宋" w:eastAsia="仿宋"/>
          <w:sz w:val="32"/>
          <w:szCs w:val="32"/>
        </w:rPr>
        <w:t>小时监测制度，按照《政府网站考核指标》和网站普查相关要求，靠实监管责任，采取人工检查和第三方监测结合的方式进行网站监管，及时发现整改问题，避免问题累积和反复发生。密切联系网站服务器运维商，保障政府网站技术支持，做好网站的运维和安全防范等工作，确保政府网站安全可靠运行。健全网站信息内容发布审核机制，明确网站各栏目责任人，坚持先审后发和值班读网检查，加强内容审核和保密审查，及时发现和纠正错漏信息，确保网站信息内容安全准确。</w:t>
      </w:r>
    </w:p>
    <w:p>
      <w:pPr>
        <w:widowControl/>
        <w:shd w:val="clear" w:color="auto" w:fill="FFFFFF"/>
        <w:spacing w:line="560" w:lineRule="exact"/>
        <w:ind w:firstLine="643" w:firstLineChars="200"/>
        <w:jc w:val="left"/>
        <w:rPr>
          <w:rFonts w:ascii="楷体_GB2312" w:hAnsi="楷体_GB2312" w:eastAsia="仿宋" w:cs="楷体_GB2312"/>
          <w:b/>
          <w:bCs/>
          <w:color w:val="333333"/>
          <w:kern w:val="0"/>
          <w:sz w:val="32"/>
          <w:szCs w:val="32"/>
        </w:rPr>
      </w:pPr>
      <w:r>
        <w:rPr>
          <w:rFonts w:hint="eastAsia" w:ascii="楷体_GB2312" w:hAnsi="楷体_GB2312" w:eastAsia="楷体_GB2312" w:cs="楷体_GB2312"/>
          <w:b/>
          <w:bCs/>
          <w:color w:val="333333"/>
          <w:kern w:val="0"/>
          <w:sz w:val="32"/>
          <w:szCs w:val="32"/>
        </w:rPr>
        <w:t>（九）认真落实监督保障。</w:t>
      </w:r>
      <w:r>
        <w:rPr>
          <w:rFonts w:hint="eastAsia" w:ascii="仿宋" w:hAnsi="仿宋" w:eastAsia="仿宋" w:cs="仿宋"/>
          <w:bCs/>
          <w:color w:val="222222"/>
          <w:kern w:val="0"/>
          <w:sz w:val="32"/>
        </w:rPr>
        <w:t>将政府信息公开工作落实情况纳入本年度绩效评估考核指标，自觉接受社会评议和察访。</w:t>
      </w:r>
    </w:p>
    <w:p>
      <w:pPr>
        <w:widowControl/>
        <w:shd w:val="clear" w:color="auto" w:fill="FFFFFF"/>
        <w:spacing w:line="560" w:lineRule="exact"/>
        <w:jc w:val="left"/>
        <w:rPr>
          <w:rFonts w:ascii="楷体_GB2312" w:hAnsi="楷体_GB2312" w:eastAsia="楷体_GB2312" w:cs="楷体_GB2312"/>
          <w:b/>
          <w:bCs/>
          <w:color w:val="333333"/>
          <w:kern w:val="0"/>
          <w:sz w:val="32"/>
          <w:szCs w:val="32"/>
        </w:rPr>
      </w:pPr>
      <w:r>
        <w:rPr>
          <w:rFonts w:hint="eastAsia" w:ascii="黑体" w:hAnsi="黑体" w:eastAsia="黑体" w:cs="黑体"/>
          <w:color w:val="222222"/>
          <w:kern w:val="0"/>
          <w:sz w:val="32"/>
          <w:szCs w:val="32"/>
        </w:rPr>
        <w:t>二、主动公开政府信息情况</w:t>
      </w:r>
    </w:p>
    <w:tbl>
      <w:tblPr>
        <w:tblStyle w:val="5"/>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信息内容</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本年新</w:t>
            </w:r>
            <w:r>
              <w:rPr>
                <w:rFonts w:ascii="仿宋" w:hAnsi="仿宋" w:eastAsia="仿宋" w:cs="仿宋"/>
                <w:color w:val="000000"/>
                <w:kern w:val="0"/>
                <w:sz w:val="32"/>
                <w:szCs w:val="32"/>
              </w:rPr>
              <w:br w:type="textWrapping"/>
            </w:r>
            <w:r>
              <w:rPr>
                <w:rFonts w:hint="eastAsia" w:ascii="仿宋" w:hAnsi="仿宋" w:eastAsia="仿宋" w:cs="仿宋"/>
                <w:kern w:val="0"/>
                <w:sz w:val="32"/>
                <w:szCs w:val="32"/>
              </w:rPr>
              <w:t>制作数量</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本年新</w:t>
            </w:r>
            <w:r>
              <w:rPr>
                <w:rFonts w:ascii="仿宋" w:hAnsi="仿宋" w:eastAsia="仿宋" w:cs="仿宋"/>
                <w:color w:val="000000"/>
                <w:kern w:val="0"/>
                <w:sz w:val="32"/>
                <w:szCs w:val="32"/>
              </w:rPr>
              <w:br w:type="textWrapping"/>
            </w:r>
            <w:r>
              <w:rPr>
                <w:rFonts w:hint="eastAsia" w:ascii="仿宋" w:hAnsi="仿宋" w:eastAsia="仿宋" w:cs="仿宋"/>
                <w:kern w:val="0"/>
                <w:sz w:val="32"/>
                <w:szCs w:val="32"/>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color w:val="000000"/>
                <w:kern w:val="0"/>
                <w:sz w:val="32"/>
                <w:szCs w:val="32"/>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color w:val="000000"/>
                <w:kern w:val="0"/>
                <w:sz w:val="32"/>
                <w:szCs w:val="32"/>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color w:val="000000"/>
                <w:kern w:val="0"/>
                <w:sz w:val="32"/>
                <w:szCs w:val="32"/>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color w:val="000000"/>
                <w:kern w:val="0"/>
                <w:sz w:val="32"/>
                <w:szCs w:val="32"/>
              </w:rPr>
              <w:t>3</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color w:val="000000"/>
                <w:kern w:val="0"/>
                <w:sz w:val="32"/>
                <w:szCs w:val="32"/>
              </w:rPr>
              <w:t>3</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color w:val="000000"/>
                <w:kern w:val="0"/>
                <w:sz w:val="32"/>
                <w:szCs w:val="32"/>
              </w:rPr>
              <w:t>11</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信息内容</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上一年项目数量</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本年增</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347</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ind w:firstLine="200"/>
              <w:jc w:val="center"/>
              <w:rPr>
                <w:rFonts w:ascii="仿宋" w:hAnsi="仿宋" w:eastAsia="仿宋" w:cs="仿宋"/>
                <w:kern w:val="0"/>
                <w:sz w:val="32"/>
                <w:szCs w:val="32"/>
              </w:rPr>
            </w:pPr>
            <w:r>
              <w:rPr>
                <w:rFonts w:hint="eastAsia" w:ascii="仿宋" w:hAnsi="仿宋" w:eastAsia="仿宋" w:cs="仿宋"/>
                <w:color w:val="000000"/>
                <w:kern w:val="0"/>
                <w:sz w:val="32"/>
                <w:szCs w:val="32"/>
              </w:rPr>
              <w:t>增</w:t>
            </w:r>
            <w:r>
              <w:rPr>
                <w:rFonts w:ascii="仿宋" w:hAnsi="仿宋" w:eastAsia="仿宋" w:cs="仿宋"/>
                <w:color w:val="000000"/>
                <w:kern w:val="0"/>
                <w:sz w:val="32"/>
                <w:szCs w:val="32"/>
              </w:rPr>
              <w:t>169</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2558</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color w:val="000000"/>
                <w:kern w:val="0"/>
                <w:sz w:val="32"/>
                <w:szCs w:val="32"/>
              </w:rPr>
              <w:t>283</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减</w:t>
            </w:r>
            <w:r>
              <w:rPr>
                <w:rFonts w:ascii="仿宋" w:hAnsi="仿宋" w:eastAsia="仿宋" w:cs="仿宋"/>
                <w:color w:val="000000"/>
                <w:kern w:val="0"/>
                <w:sz w:val="32"/>
                <w:szCs w:val="32"/>
              </w:rPr>
              <w:t>79</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31923</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信息内容</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上一年项目数量</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本年增</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1924</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增958</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278</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124</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增46</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42</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上一年项目数量</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本年增</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highlight w:val="yellow"/>
              </w:rPr>
            </w:pPr>
            <w:r>
              <w:rPr>
                <w:rFonts w:ascii="仿宋" w:hAnsi="仿宋" w:eastAsia="仿宋" w:cs="仿宋"/>
                <w:kern w:val="0"/>
                <w:sz w:val="32"/>
                <w:szCs w:val="32"/>
              </w:rPr>
              <w:t>11</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highlight w:val="yellow"/>
              </w:rPr>
            </w:pPr>
            <w:r>
              <w:rPr>
                <w:rFonts w:hint="eastAsia" w:ascii="仿宋" w:hAnsi="仿宋" w:eastAsia="仿宋" w:cs="仿宋"/>
                <w:color w:val="000000"/>
                <w:kern w:val="0"/>
                <w:sz w:val="32"/>
                <w:szCs w:val="32"/>
              </w:rPr>
              <w:t>增16</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采购项目数量</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color w:val="000000"/>
                <w:kern w:val="0"/>
                <w:sz w:val="32"/>
                <w:szCs w:val="32"/>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highlight w:val="yellow"/>
              </w:rPr>
            </w:pPr>
            <w:r>
              <w:rPr>
                <w:rFonts w:ascii="仿宋" w:hAnsi="仿宋" w:eastAsia="仿宋" w:cs="仿宋"/>
                <w:kern w:val="0"/>
                <w:sz w:val="32"/>
                <w:szCs w:val="32"/>
              </w:rPr>
              <w:t>149</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45822.4584万元</w:t>
            </w:r>
          </w:p>
        </w:tc>
      </w:tr>
    </w:tbl>
    <w:p>
      <w:pPr>
        <w:widowControl/>
        <w:spacing w:before="362" w:after="210" w:line="560" w:lineRule="exact"/>
        <w:ind w:right="300"/>
        <w:jc w:val="left"/>
        <w:rPr>
          <w:rFonts w:ascii="黑体" w:hAnsi="黑体" w:eastAsia="黑体" w:cs="黑体"/>
          <w:color w:val="222222"/>
          <w:kern w:val="0"/>
          <w:sz w:val="32"/>
          <w:szCs w:val="32"/>
        </w:rPr>
      </w:pPr>
      <w:r>
        <w:rPr>
          <w:rFonts w:hint="eastAsia" w:ascii="黑体" w:hAnsi="黑体" w:eastAsia="黑体" w:cs="黑体"/>
          <w:color w:val="222222"/>
          <w:kern w:val="0"/>
          <w:sz w:val="32"/>
          <w:szCs w:val="32"/>
        </w:rPr>
        <w:t>三、政府信息依申请公开办理情况</w:t>
      </w:r>
    </w:p>
    <w:tbl>
      <w:tblPr>
        <w:tblStyle w:val="5"/>
        <w:tblW w:w="907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7"/>
        <w:gridCol w:w="813"/>
        <w:gridCol w:w="755"/>
        <w:gridCol w:w="755"/>
        <w:gridCol w:w="813"/>
        <w:gridCol w:w="974"/>
        <w:gridCol w:w="712"/>
        <w:gridCol w:w="6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（本列数据的勾稽关系为：第一项加第二项之和，等于第三项加第四项之和）</w:t>
            </w:r>
          </w:p>
        </w:tc>
        <w:tc>
          <w:tcPr>
            <w:tcW w:w="5518"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自然人</w:t>
            </w:r>
          </w:p>
        </w:tc>
        <w:tc>
          <w:tcPr>
            <w:tcW w:w="4009" w:type="dxa"/>
            <w:gridSpan w:val="5"/>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法人或其他组织</w:t>
            </w:r>
          </w:p>
        </w:tc>
        <w:tc>
          <w:tcPr>
            <w:tcW w:w="696"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科研机构</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社会公益组织</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法律服务机构</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其他</w:t>
            </w:r>
          </w:p>
        </w:tc>
        <w:tc>
          <w:tcPr>
            <w:tcW w:w="696"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kern w:val="0"/>
                <w:sz w:val="32"/>
                <w:szCs w:val="32"/>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3</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3</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kern w:val="0"/>
                <w:sz w:val="32"/>
                <w:szCs w:val="32"/>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三、本年度办理结果</w:t>
            </w:r>
          </w:p>
        </w:tc>
        <w:tc>
          <w:tcPr>
            <w:tcW w:w="294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kern w:val="0"/>
                <w:sz w:val="32"/>
                <w:szCs w:val="32"/>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94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kern w:val="0"/>
                <w:sz w:val="32"/>
                <w:szCs w:val="32"/>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kern w:val="0"/>
                <w:sz w:val="32"/>
                <w:szCs w:val="32"/>
              </w:rPr>
              <w:t>（三）不予公开</w:t>
            </w: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6.</w:t>
            </w:r>
            <w:r>
              <w:rPr>
                <w:rFonts w:hint="eastAsia" w:ascii="仿宋" w:hAnsi="仿宋" w:eastAsia="仿宋" w:cs="仿宋"/>
                <w:kern w:val="0"/>
                <w:sz w:val="32"/>
                <w:szCs w:val="32"/>
              </w:rPr>
              <w:t>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7.</w:t>
            </w:r>
            <w:r>
              <w:rPr>
                <w:rFonts w:hint="eastAsia" w:ascii="仿宋" w:hAnsi="仿宋" w:eastAsia="仿宋" w:cs="仿宋"/>
                <w:kern w:val="0"/>
                <w:sz w:val="32"/>
                <w:szCs w:val="32"/>
              </w:rPr>
              <w:t>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8.</w:t>
            </w:r>
            <w:r>
              <w:rPr>
                <w:rFonts w:hint="eastAsia" w:ascii="仿宋" w:hAnsi="仿宋" w:eastAsia="仿宋" w:cs="仿宋"/>
                <w:kern w:val="0"/>
                <w:sz w:val="32"/>
                <w:szCs w:val="32"/>
              </w:rPr>
              <w:t>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kern w:val="0"/>
                <w:sz w:val="32"/>
                <w:szCs w:val="32"/>
              </w:rPr>
              <w:t>（四）无法提供</w:t>
            </w: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3</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kern w:val="0"/>
                <w:sz w:val="32"/>
                <w:szCs w:val="32"/>
              </w:rPr>
              <w:t>（五）不予处理</w:t>
            </w: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087"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ascii="仿宋" w:hAnsi="仿宋" w:eastAsia="仿宋" w:cs="仿宋"/>
                <w:kern w:val="0"/>
                <w:sz w:val="32"/>
                <w:szCs w:val="32"/>
              </w:rPr>
              <w:t>5.</w:t>
            </w:r>
            <w:r>
              <w:rPr>
                <w:rFonts w:hint="eastAsia" w:ascii="仿宋" w:hAnsi="仿宋" w:eastAsia="仿宋" w:cs="仿宋"/>
                <w:kern w:val="0"/>
                <w:sz w:val="32"/>
                <w:szCs w:val="32"/>
              </w:rPr>
              <w:t>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94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kern w:val="0"/>
                <w:sz w:val="32"/>
                <w:szCs w:val="32"/>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294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kern w:val="0"/>
                <w:sz w:val="32"/>
                <w:szCs w:val="32"/>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left"/>
              <w:rPr>
                <w:rFonts w:ascii="仿宋" w:hAnsi="仿宋" w:eastAsia="仿宋" w:cs="仿宋"/>
                <w:kern w:val="0"/>
                <w:sz w:val="32"/>
                <w:szCs w:val="32"/>
              </w:rPr>
            </w:pPr>
            <w:r>
              <w:rPr>
                <w:rFonts w:hint="eastAsia" w:ascii="仿宋" w:hAnsi="仿宋" w:eastAsia="仿宋" w:cs="仿宋"/>
                <w:kern w:val="0"/>
                <w:sz w:val="32"/>
                <w:szCs w:val="32"/>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96"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r>
    </w:tbl>
    <w:p>
      <w:pPr>
        <w:widowControl/>
        <w:spacing w:before="362" w:after="210" w:line="560" w:lineRule="exact"/>
        <w:ind w:right="300"/>
        <w:jc w:val="left"/>
        <w:rPr>
          <w:rFonts w:ascii="黑体" w:hAnsi="黑体" w:eastAsia="黑体" w:cs="黑体"/>
          <w:color w:val="222222"/>
          <w:kern w:val="0"/>
          <w:sz w:val="32"/>
          <w:szCs w:val="32"/>
        </w:rPr>
      </w:pPr>
      <w:r>
        <w:rPr>
          <w:rFonts w:hint="eastAsia" w:ascii="黑体" w:hAnsi="黑体" w:eastAsia="黑体" w:cs="黑体"/>
          <w:color w:val="222222"/>
          <w:kern w:val="0"/>
          <w:sz w:val="32"/>
          <w:szCs w:val="32"/>
        </w:rPr>
        <w:t>四、政府信息公开行政复议、行政诉讼情况</w:t>
      </w:r>
    </w:p>
    <w:tbl>
      <w:tblPr>
        <w:tblStyle w:val="5"/>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68"/>
        <w:gridCol w:w="568"/>
        <w:gridCol w:w="568"/>
        <w:gridCol w:w="568"/>
        <w:gridCol w:w="611"/>
        <w:gridCol w:w="524"/>
        <w:gridCol w:w="568"/>
        <w:gridCol w:w="568"/>
        <w:gridCol w:w="568"/>
        <w:gridCol w:w="568"/>
        <w:gridCol w:w="568"/>
        <w:gridCol w:w="568"/>
        <w:gridCol w:w="568"/>
        <w:gridCol w:w="569"/>
        <w:gridCol w:w="5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288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行政复议</w:t>
            </w:r>
          </w:p>
        </w:tc>
        <w:tc>
          <w:tcPr>
            <w:tcW w:w="5639"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结果维持</w:t>
            </w:r>
          </w:p>
        </w:tc>
        <w:tc>
          <w:tcPr>
            <w:tcW w:w="568"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结果纠正</w:t>
            </w:r>
          </w:p>
        </w:tc>
        <w:tc>
          <w:tcPr>
            <w:tcW w:w="568"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其他结果</w:t>
            </w:r>
          </w:p>
        </w:tc>
        <w:tc>
          <w:tcPr>
            <w:tcW w:w="568"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尚未审结</w:t>
            </w:r>
          </w:p>
        </w:tc>
        <w:tc>
          <w:tcPr>
            <w:tcW w:w="611"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总计</w:t>
            </w:r>
          </w:p>
        </w:tc>
        <w:tc>
          <w:tcPr>
            <w:tcW w:w="2796" w:type="dxa"/>
            <w:gridSpan w:val="5"/>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未经复议直接起诉</w:t>
            </w:r>
          </w:p>
        </w:tc>
        <w:tc>
          <w:tcPr>
            <w:tcW w:w="2843" w:type="dxa"/>
            <w:gridSpan w:val="5"/>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568"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568"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568"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611"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仿宋" w:hAnsi="仿宋" w:eastAsia="仿宋" w:cs="仿宋"/>
                <w:sz w:val="32"/>
                <w:szCs w:val="32"/>
              </w:rPr>
            </w:pPr>
          </w:p>
        </w:tc>
        <w:tc>
          <w:tcPr>
            <w:tcW w:w="52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结果维持</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结果纠正</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其他结果</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尚未审结</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总计</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结果维持</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结果纠正</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其他结果</w:t>
            </w:r>
          </w:p>
        </w:tc>
        <w:tc>
          <w:tcPr>
            <w:tcW w:w="569"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kern w:val="0"/>
                <w:sz w:val="32"/>
                <w:szCs w:val="32"/>
              </w:rPr>
              <w:t>尚未审结</w:t>
            </w:r>
          </w:p>
        </w:tc>
        <w:tc>
          <w:tcPr>
            <w:tcW w:w="570"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hint="eastAsia" w:ascii="仿宋" w:hAnsi="仿宋" w:eastAsia="仿宋" w:cs="仿宋"/>
                <w:color w:val="000000"/>
                <w:kern w:val="0"/>
                <w:sz w:val="32"/>
                <w:szCs w:val="32"/>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8"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611"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524"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color w:val="000000"/>
                <w:kern w:val="0"/>
                <w:sz w:val="32"/>
                <w:szCs w:val="32"/>
              </w:rPr>
              <w:t>0</w:t>
            </w:r>
            <w:r>
              <w:rPr>
                <w:rFonts w:ascii="宋体" w:cs="宋体"/>
                <w:color w:val="000000"/>
                <w:kern w:val="0"/>
                <w:sz w:val="32"/>
                <w:szCs w:val="32"/>
              </w:rPr>
              <w:t> </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宋体" w:cs="宋体"/>
                <w:kern w:val="0"/>
                <w:sz w:val="32"/>
                <w:szCs w:val="32"/>
              </w:rPr>
              <w:t> </w:t>
            </w:r>
            <w:r>
              <w:rPr>
                <w:rFonts w:ascii="仿宋" w:hAnsi="仿宋" w:eastAsia="仿宋" w:cs="仿宋"/>
                <w:kern w:val="0"/>
                <w:sz w:val="32"/>
                <w:szCs w:val="32"/>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p>
        </w:tc>
        <w:tc>
          <w:tcPr>
            <w:tcW w:w="568"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color w:val="000000"/>
                <w:kern w:val="0"/>
                <w:sz w:val="32"/>
                <w:szCs w:val="32"/>
              </w:rPr>
              <w:t>0</w:t>
            </w:r>
            <w:r>
              <w:rPr>
                <w:rFonts w:ascii="宋体" w:cs="宋体"/>
                <w:color w:val="000000"/>
                <w:kern w:val="0"/>
                <w:sz w:val="32"/>
                <w:szCs w:val="32"/>
              </w:rPr>
              <w:t> </w:t>
            </w:r>
          </w:p>
        </w:tc>
        <w:tc>
          <w:tcPr>
            <w:tcW w:w="569" w:type="dxa"/>
            <w:tcBorders>
              <w:top w:val="nil"/>
              <w:left w:val="nil"/>
              <w:bottom w:val="single" w:color="auto" w:sz="8" w:space="0"/>
              <w:right w:val="single" w:color="auto" w:sz="8" w:space="0"/>
            </w:tcBorders>
            <w:tcMar>
              <w:left w:w="108" w:type="dxa"/>
              <w:right w:w="108" w:type="dxa"/>
            </w:tcMar>
            <w:vAlign w:val="center"/>
          </w:tcPr>
          <w:p>
            <w:pPr>
              <w:widowControl/>
              <w:spacing w:after="180" w:line="560" w:lineRule="exact"/>
              <w:jc w:val="center"/>
              <w:rPr>
                <w:rFonts w:ascii="仿宋" w:hAnsi="仿宋" w:eastAsia="仿宋" w:cs="仿宋"/>
                <w:kern w:val="0"/>
                <w:sz w:val="32"/>
                <w:szCs w:val="32"/>
              </w:rPr>
            </w:pPr>
            <w:r>
              <w:rPr>
                <w:rFonts w:ascii="仿宋" w:hAnsi="仿宋" w:eastAsia="仿宋" w:cs="仿宋"/>
                <w:kern w:val="0"/>
                <w:sz w:val="32"/>
                <w:szCs w:val="32"/>
              </w:rPr>
              <w:t>0</w:t>
            </w:r>
            <w:r>
              <w:rPr>
                <w:rFonts w:ascii="宋体" w:cs="宋体"/>
                <w:kern w:val="0"/>
                <w:sz w:val="32"/>
                <w:szCs w:val="32"/>
              </w:rPr>
              <w:t> </w:t>
            </w:r>
          </w:p>
        </w:tc>
        <w:tc>
          <w:tcPr>
            <w:tcW w:w="570"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rPr>
                <w:rFonts w:ascii="仿宋" w:hAnsi="仿宋" w:eastAsia="仿宋" w:cs="仿宋"/>
                <w:kern w:val="0"/>
                <w:sz w:val="32"/>
                <w:szCs w:val="32"/>
              </w:rPr>
            </w:pPr>
            <w:r>
              <w:rPr>
                <w:rFonts w:ascii="仿宋" w:hAnsi="仿宋" w:eastAsia="仿宋" w:cs="仿宋"/>
                <w:kern w:val="0"/>
                <w:sz w:val="32"/>
                <w:szCs w:val="32"/>
              </w:rPr>
              <w:t>0</w:t>
            </w:r>
          </w:p>
        </w:tc>
      </w:tr>
    </w:tbl>
    <w:p>
      <w:pPr>
        <w:widowControl/>
        <w:spacing w:before="362" w:after="210" w:line="560" w:lineRule="exact"/>
        <w:ind w:right="300"/>
        <w:jc w:val="left"/>
        <w:rPr>
          <w:rFonts w:ascii="黑体" w:hAnsi="黑体" w:eastAsia="黑体" w:cs="黑体"/>
          <w:color w:val="222222"/>
          <w:kern w:val="0"/>
          <w:sz w:val="32"/>
          <w:szCs w:val="32"/>
        </w:rPr>
      </w:pPr>
      <w:r>
        <w:rPr>
          <w:rFonts w:hint="eastAsia" w:ascii="黑体" w:hAnsi="黑体" w:eastAsia="黑体" w:cs="黑体"/>
          <w:color w:val="222222"/>
          <w:kern w:val="0"/>
          <w:sz w:val="32"/>
          <w:szCs w:val="32"/>
        </w:rPr>
        <w:t>五、存在的主要问题及下一步工作打算</w:t>
      </w:r>
    </w:p>
    <w:p>
      <w:pPr>
        <w:spacing w:line="560" w:lineRule="exact"/>
        <w:ind w:firstLine="640" w:firstLineChars="200"/>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年，我区政务公开工作虽取得了一定成绩，但与市政府的要求还有一定的差距和不足。</w:t>
      </w:r>
    </w:p>
    <w:p>
      <w:pPr>
        <w:spacing w:line="560" w:lineRule="exact"/>
        <w:rPr>
          <w:rFonts w:ascii="华文楷体" w:hAnsi="华文楷体" w:eastAsia="华文楷体" w:cs="华文楷体"/>
          <w:sz w:val="32"/>
          <w:szCs w:val="32"/>
        </w:rPr>
      </w:pPr>
      <w:r>
        <w:rPr>
          <w:rFonts w:hint="eastAsia" w:ascii="华文楷体" w:hAnsi="华文楷体" w:eastAsia="华文楷体" w:cs="华文楷体"/>
          <w:sz w:val="32"/>
          <w:szCs w:val="32"/>
        </w:rPr>
        <w:t>主要存在问题：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一是部分单位依法公开、主动公开意识有待提高，工作进展不平衡，重视程度还不够，缺乏公开的主动性、积极性。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二是部分单位政务新媒体存在内容更新不及时，互动性不强等问题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三是政府网站信息发布审核把关不严，存在错别字、表述不规范等问题。</w:t>
      </w:r>
    </w:p>
    <w:p>
      <w:pPr>
        <w:spacing w:line="560" w:lineRule="exact"/>
        <w:rPr>
          <w:rFonts w:ascii="华文楷体" w:hAnsi="华文楷体" w:eastAsia="华文楷体" w:cs="华文楷体"/>
          <w:sz w:val="32"/>
          <w:szCs w:val="32"/>
        </w:rPr>
      </w:pPr>
      <w:r>
        <w:rPr>
          <w:rFonts w:hint="eastAsia" w:ascii="华文楷体" w:hAnsi="华文楷体" w:eastAsia="华文楷体" w:cs="华文楷体"/>
          <w:sz w:val="32"/>
          <w:szCs w:val="32"/>
        </w:rPr>
        <w:t>2021年工作打算：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一是做好宣传和培训工作，营造全区上下重视政府信息公开工作，充分发挥政府信息公开工作纽带作用，提高业务人员责任意识和业务能力。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二是完善制度，抓好落实。进一步完善政务公开制度和相关措施，严格按照《中华人民共和国政府信息公开条例》开展工作，进一步增强依法公开、主动公开意识，提高政务公开水平和公开时效。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三是丰富公开形式。充分利用各单位信息公开网络体系和其他公开载体，推进重点领域公开，深化公开内容，提高信息公开及时性。</w:t>
      </w:r>
    </w:p>
    <w:p>
      <w:pPr>
        <w:pStyle w:val="4"/>
        <w:widowControl/>
        <w:spacing w:beforeAutospacing="0" w:after="30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四是强化监督考核力度。加大对基层政务公开工作的督查考核力度，进一步夯实工作基础，促进政务公开规范化、常态化开展。</w:t>
      </w:r>
    </w:p>
    <w:p>
      <w:pPr>
        <w:pStyle w:val="4"/>
        <w:widowControl/>
        <w:spacing w:beforeAutospacing="0" w:after="300" w:afterAutospacing="0" w:line="560" w:lineRule="exact"/>
        <w:ind w:firstLine="640" w:firstLineChars="200"/>
        <w:rPr>
          <w:rFonts w:ascii="仿宋" w:hAnsi="仿宋" w:eastAsia="仿宋"/>
          <w:kern w:val="2"/>
          <w:sz w:val="32"/>
          <w:szCs w:val="32"/>
        </w:rPr>
      </w:pPr>
    </w:p>
    <w:p>
      <w:pPr>
        <w:widowControl/>
        <w:spacing w:before="362" w:after="210" w:line="560" w:lineRule="exact"/>
        <w:ind w:right="300"/>
        <w:jc w:val="left"/>
        <w:rPr>
          <w:rFonts w:ascii="仿宋" w:hAnsi="仿宋" w:eastAsia="仿宋"/>
          <w:sz w:val="32"/>
          <w:szCs w:val="32"/>
        </w:rPr>
      </w:pPr>
      <w:r>
        <w:rPr>
          <w:rFonts w:hint="eastAsia" w:ascii="黑体" w:hAnsi="黑体" w:eastAsia="黑体" w:cs="黑体"/>
          <w:color w:val="222222"/>
          <w:kern w:val="0"/>
          <w:sz w:val="32"/>
          <w:szCs w:val="32"/>
        </w:rPr>
        <w:t>六、无其他需要报告的事项。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B405A"/>
    <w:rsid w:val="00013048"/>
    <w:rsid w:val="0001395C"/>
    <w:rsid w:val="00015E5A"/>
    <w:rsid w:val="000341FA"/>
    <w:rsid w:val="000937CF"/>
    <w:rsid w:val="00096841"/>
    <w:rsid w:val="000A0C97"/>
    <w:rsid w:val="000B5324"/>
    <w:rsid w:val="000B7AD2"/>
    <w:rsid w:val="000C173D"/>
    <w:rsid w:val="000C2909"/>
    <w:rsid w:val="000D1033"/>
    <w:rsid w:val="000D54CB"/>
    <w:rsid w:val="000D6B71"/>
    <w:rsid w:val="000E5040"/>
    <w:rsid w:val="00107A06"/>
    <w:rsid w:val="00121676"/>
    <w:rsid w:val="00130487"/>
    <w:rsid w:val="00133E1B"/>
    <w:rsid w:val="00137AC1"/>
    <w:rsid w:val="00150F7C"/>
    <w:rsid w:val="0016132A"/>
    <w:rsid w:val="0016207C"/>
    <w:rsid w:val="001753BA"/>
    <w:rsid w:val="001859B7"/>
    <w:rsid w:val="00193896"/>
    <w:rsid w:val="001A79BA"/>
    <w:rsid w:val="001B1757"/>
    <w:rsid w:val="001B6AD3"/>
    <w:rsid w:val="00207543"/>
    <w:rsid w:val="00213B13"/>
    <w:rsid w:val="00261F5D"/>
    <w:rsid w:val="00276BD6"/>
    <w:rsid w:val="00283943"/>
    <w:rsid w:val="00291FAD"/>
    <w:rsid w:val="002B0384"/>
    <w:rsid w:val="002D36EF"/>
    <w:rsid w:val="003007F0"/>
    <w:rsid w:val="00316216"/>
    <w:rsid w:val="0033060F"/>
    <w:rsid w:val="00350973"/>
    <w:rsid w:val="003671EA"/>
    <w:rsid w:val="00386AB4"/>
    <w:rsid w:val="003A1A35"/>
    <w:rsid w:val="003D07C8"/>
    <w:rsid w:val="00411171"/>
    <w:rsid w:val="00417F62"/>
    <w:rsid w:val="004408FC"/>
    <w:rsid w:val="00494DDA"/>
    <w:rsid w:val="004A3CDE"/>
    <w:rsid w:val="004A5D43"/>
    <w:rsid w:val="004E32B2"/>
    <w:rsid w:val="004E75DF"/>
    <w:rsid w:val="004F0A6C"/>
    <w:rsid w:val="00500498"/>
    <w:rsid w:val="00503F4A"/>
    <w:rsid w:val="00505DC3"/>
    <w:rsid w:val="00515156"/>
    <w:rsid w:val="00525338"/>
    <w:rsid w:val="005469B1"/>
    <w:rsid w:val="005555EE"/>
    <w:rsid w:val="0058448C"/>
    <w:rsid w:val="005A1C24"/>
    <w:rsid w:val="005B6E92"/>
    <w:rsid w:val="005C2C41"/>
    <w:rsid w:val="005D6723"/>
    <w:rsid w:val="005F2C05"/>
    <w:rsid w:val="00634BD2"/>
    <w:rsid w:val="00663B82"/>
    <w:rsid w:val="006A1FF7"/>
    <w:rsid w:val="006A4BD7"/>
    <w:rsid w:val="006B2100"/>
    <w:rsid w:val="006D22A0"/>
    <w:rsid w:val="006E2E59"/>
    <w:rsid w:val="006E6209"/>
    <w:rsid w:val="006F2AC3"/>
    <w:rsid w:val="00723E03"/>
    <w:rsid w:val="0073473A"/>
    <w:rsid w:val="00754850"/>
    <w:rsid w:val="00755695"/>
    <w:rsid w:val="00770CFF"/>
    <w:rsid w:val="007A42BD"/>
    <w:rsid w:val="007C5765"/>
    <w:rsid w:val="007D21A4"/>
    <w:rsid w:val="007D4063"/>
    <w:rsid w:val="007D5678"/>
    <w:rsid w:val="007F2C05"/>
    <w:rsid w:val="008212FF"/>
    <w:rsid w:val="00831BE2"/>
    <w:rsid w:val="008321DA"/>
    <w:rsid w:val="00872360"/>
    <w:rsid w:val="00887ED0"/>
    <w:rsid w:val="00896574"/>
    <w:rsid w:val="008A29EA"/>
    <w:rsid w:val="008C664E"/>
    <w:rsid w:val="008D5739"/>
    <w:rsid w:val="008F39DD"/>
    <w:rsid w:val="009110F2"/>
    <w:rsid w:val="00941122"/>
    <w:rsid w:val="009850D1"/>
    <w:rsid w:val="009D527A"/>
    <w:rsid w:val="009F360E"/>
    <w:rsid w:val="00A06F89"/>
    <w:rsid w:val="00A14D9D"/>
    <w:rsid w:val="00A236E3"/>
    <w:rsid w:val="00A5165F"/>
    <w:rsid w:val="00A573DF"/>
    <w:rsid w:val="00A66E75"/>
    <w:rsid w:val="00A7294E"/>
    <w:rsid w:val="00A76AEE"/>
    <w:rsid w:val="00A920F6"/>
    <w:rsid w:val="00AC3955"/>
    <w:rsid w:val="00B010F8"/>
    <w:rsid w:val="00B11BFE"/>
    <w:rsid w:val="00B21188"/>
    <w:rsid w:val="00B21336"/>
    <w:rsid w:val="00B27D31"/>
    <w:rsid w:val="00B940BB"/>
    <w:rsid w:val="00BA61F6"/>
    <w:rsid w:val="00BC4793"/>
    <w:rsid w:val="00BF16AF"/>
    <w:rsid w:val="00BF6EFE"/>
    <w:rsid w:val="00C041DE"/>
    <w:rsid w:val="00C20DD0"/>
    <w:rsid w:val="00C36A9A"/>
    <w:rsid w:val="00C506E7"/>
    <w:rsid w:val="00C62806"/>
    <w:rsid w:val="00C7143E"/>
    <w:rsid w:val="00C722C0"/>
    <w:rsid w:val="00C80288"/>
    <w:rsid w:val="00C876FA"/>
    <w:rsid w:val="00CA0529"/>
    <w:rsid w:val="00CA3178"/>
    <w:rsid w:val="00CA5BEE"/>
    <w:rsid w:val="00CB405A"/>
    <w:rsid w:val="00CC017B"/>
    <w:rsid w:val="00CD3EAC"/>
    <w:rsid w:val="00CE7361"/>
    <w:rsid w:val="00CF2CAA"/>
    <w:rsid w:val="00CF470B"/>
    <w:rsid w:val="00CF6EB4"/>
    <w:rsid w:val="00D25360"/>
    <w:rsid w:val="00D2683C"/>
    <w:rsid w:val="00D54B83"/>
    <w:rsid w:val="00D569D0"/>
    <w:rsid w:val="00D91D0A"/>
    <w:rsid w:val="00DB2A3F"/>
    <w:rsid w:val="00DB6DFA"/>
    <w:rsid w:val="00DD54F8"/>
    <w:rsid w:val="00DE72DE"/>
    <w:rsid w:val="00E044D8"/>
    <w:rsid w:val="00E074B7"/>
    <w:rsid w:val="00E103CB"/>
    <w:rsid w:val="00E43198"/>
    <w:rsid w:val="00E53E3C"/>
    <w:rsid w:val="00E64EE5"/>
    <w:rsid w:val="00E665E0"/>
    <w:rsid w:val="00E913ED"/>
    <w:rsid w:val="00EB4369"/>
    <w:rsid w:val="00EB7D74"/>
    <w:rsid w:val="00ED07F5"/>
    <w:rsid w:val="00ED65D2"/>
    <w:rsid w:val="00F20A6F"/>
    <w:rsid w:val="00F27493"/>
    <w:rsid w:val="00F35B5C"/>
    <w:rsid w:val="00F610F0"/>
    <w:rsid w:val="00F76642"/>
    <w:rsid w:val="00FC5DC2"/>
    <w:rsid w:val="0C3A7A6C"/>
    <w:rsid w:val="0C3B1DB2"/>
    <w:rsid w:val="1C0979D0"/>
    <w:rsid w:val="2402686F"/>
    <w:rsid w:val="338A2403"/>
    <w:rsid w:val="367C08BE"/>
    <w:rsid w:val="3B38739C"/>
    <w:rsid w:val="411E27B5"/>
    <w:rsid w:val="47B63D1F"/>
    <w:rsid w:val="6F031649"/>
    <w:rsid w:val="73AC07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styleId="7">
    <w:name w:val="Hyperlink"/>
    <w:basedOn w:val="6"/>
    <w:qFormat/>
    <w:uiPriority w:val="99"/>
    <w:rPr>
      <w:rFonts w:cs="Times New Roman"/>
      <w:color w:val="0000FF"/>
      <w:u w:val="single"/>
    </w:rPr>
  </w:style>
  <w:style w:type="character" w:customStyle="1" w:styleId="8">
    <w:name w:val="页脚 Char"/>
    <w:basedOn w:val="6"/>
    <w:link w:val="2"/>
    <w:semiHidden/>
    <w:qFormat/>
    <w:locked/>
    <w:uiPriority w:val="99"/>
    <w:rPr>
      <w:rFonts w:cs="Times New Roman"/>
      <w:sz w:val="18"/>
      <w:szCs w:val="18"/>
    </w:rPr>
  </w:style>
  <w:style w:type="character" w:customStyle="1" w:styleId="9">
    <w:name w:val="页眉 Char"/>
    <w:basedOn w:val="6"/>
    <w:link w:val="3"/>
    <w:semiHidden/>
    <w:qFormat/>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638</Words>
  <Characters>3643</Characters>
  <Lines>30</Lines>
  <Paragraphs>8</Paragraphs>
  <TotalTime>1</TotalTime>
  <ScaleCrop>false</ScaleCrop>
  <LinksUpToDate>false</LinksUpToDate>
  <CharactersWithSpaces>4273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2021-03-08T03:08:00Z</dcterms:created>
  <dc:creator>哈里路亚哈里路亚</dc:creator>
  <cp:lastModifiedBy>市信息办公文收发员</cp:lastModifiedBy>
  <dcterms:modified xsi:type="dcterms:W3CDTF">2023-06-16T08:56:42Z</dcterms:modified>
  <dc:title>平川区2020年政府信息公开工作年度报告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