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w:t>
      </w:r>
    </w:p>
    <w:tbl>
      <w:tblPr>
        <w:tblStyle w:val="3"/>
        <w:tblW w:w="98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80"/>
        <w:gridCol w:w="1704"/>
        <w:gridCol w:w="1704"/>
        <w:gridCol w:w="1704"/>
        <w:gridCol w:w="1704"/>
        <w:gridCol w:w="1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top w:val="nil"/>
              <w:left w:val="nil"/>
              <w:bottom w:val="nil"/>
              <w:right w:val="nil"/>
            </w:tcBorders>
            <w:noWrap/>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附件1</w:t>
            </w:r>
          </w:p>
        </w:tc>
        <w:tc>
          <w:tcPr>
            <w:tcW w:w="1704" w:type="dxa"/>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1704" w:type="dxa"/>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1704" w:type="dxa"/>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1704" w:type="dxa"/>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1935" w:type="dxa"/>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0" w:type="auto"/>
            <w:gridSpan w:val="6"/>
            <w:tcBorders>
              <w:top w:val="nil"/>
              <w:left w:val="nil"/>
              <w:bottom w:val="nil"/>
              <w:right w:val="nil"/>
            </w:tcBorders>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2"/>
                <w:szCs w:val="32"/>
                <w:u w:val="none"/>
              </w:rPr>
            </w:pPr>
            <w:bookmarkStart w:id="0" w:name="_GoBack"/>
            <w:r>
              <w:rPr>
                <w:rFonts w:hint="eastAsia" w:ascii="方正小标宋简体" w:hAnsi="方正小标宋简体" w:eastAsia="方正小标宋简体" w:cs="方正小标宋简体"/>
                <w:i w:val="0"/>
                <w:color w:val="000000"/>
                <w:kern w:val="0"/>
                <w:sz w:val="32"/>
                <w:szCs w:val="32"/>
                <w:u w:val="none"/>
                <w:lang w:val="en-US" w:eastAsia="zh-CN" w:bidi="ar"/>
              </w:rPr>
              <w:t>白银市本级2021年第四季度存量住宅用地信息汇总表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0" w:type="auto"/>
            <w:gridSpan w:val="2"/>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填报单位：</w:t>
            </w:r>
          </w:p>
        </w:tc>
        <w:tc>
          <w:tcPr>
            <w:tcW w:w="0" w:type="auto"/>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0" w:type="auto"/>
            <w:gridSpan w:val="2"/>
            <w:tcBorders>
              <w:top w:val="nil"/>
              <w:left w:val="nil"/>
              <w:bottom w:val="nil"/>
              <w:right w:val="nil"/>
            </w:tcBorders>
            <w:noWrap/>
            <w:vAlign w:val="center"/>
          </w:tcPr>
          <w:p>
            <w:pPr>
              <w:keepNext w:val="0"/>
              <w:keepLines w:val="0"/>
              <w:widowControl/>
              <w:suppressLineNumbers w:val="0"/>
              <w:jc w:val="right"/>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单位：公顷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-66675</wp:posOffset>
                  </wp:positionH>
                  <wp:positionV relativeFrom="paragraph">
                    <wp:posOffset>1905</wp:posOffset>
                  </wp:positionV>
                  <wp:extent cx="685800" cy="1006475"/>
                  <wp:effectExtent l="0" t="0" r="0" b="3175"/>
                  <wp:wrapNone/>
                  <wp:docPr id="1" name="直接连接符_1"/>
                  <wp:cNvGraphicFramePr/>
                  <a:graphic xmlns:a="http://schemas.openxmlformats.org/drawingml/2006/main">
                    <a:graphicData uri="http://schemas.openxmlformats.org/drawingml/2006/picture">
                      <pic:pic xmlns:pic="http://schemas.openxmlformats.org/drawingml/2006/picture">
                        <pic:nvPicPr>
                          <pic:cNvPr id="1" name="直接连接符_1"/>
                          <pic:cNvPicPr/>
                        </pic:nvPicPr>
                        <pic:blipFill>
                          <a:blip r:embed="rId4"/>
                          <a:stretch>
                            <a:fillRect/>
                          </a:stretch>
                        </pic:blipFill>
                        <pic:spPr>
                          <a:xfrm>
                            <a:off x="0" y="0"/>
                            <a:ext cx="685800" cy="1006475"/>
                          </a:xfrm>
                          <a:prstGeom prst="rect">
                            <a:avLst/>
                          </a:prstGeom>
                          <a:noFill/>
                          <a:ln>
                            <a:noFill/>
                          </a:ln>
                        </pic:spPr>
                      </pic:pic>
                    </a:graphicData>
                  </a:graphic>
                </wp:anchor>
              </w:drawing>
            </w:r>
          </w:p>
        </w:tc>
        <w:tc>
          <w:tcPr>
            <w:tcW w:w="1704" w:type="dxa"/>
            <w:vMerge w:val="restart"/>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项目总数</w:t>
            </w:r>
          </w:p>
        </w:tc>
        <w:tc>
          <w:tcPr>
            <w:tcW w:w="1704" w:type="dxa"/>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存量住宅用地总面积</w:t>
            </w:r>
          </w:p>
        </w:tc>
        <w:tc>
          <w:tcPr>
            <w:tcW w:w="5343" w:type="dxa"/>
            <w:gridSpan w:val="3"/>
            <w:tcBorders>
              <w:top w:val="single" w:color="000000" w:sz="4" w:space="0"/>
              <w:left w:val="nil"/>
              <w:bottom w:val="single" w:color="000000" w:sz="4" w:space="0"/>
              <w:right w:val="single" w:color="000000" w:sz="4" w:space="0"/>
            </w:tcBorders>
            <w:noWrap w:val="0"/>
            <w:vAlign w:val="center"/>
          </w:tcPr>
          <w:p>
            <w:pPr>
              <w:jc w:val="center"/>
              <w:rPr>
                <w:rFonts w:hint="eastAsia" w:ascii="黑体" w:hAnsi="宋体" w:eastAsia="黑体" w:cs="黑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704" w:type="dxa"/>
            <w:vMerge w:val="continue"/>
            <w:tcBorders>
              <w:top w:val="single" w:color="000000" w:sz="4" w:space="0"/>
              <w:left w:val="nil"/>
              <w:bottom w:val="single" w:color="000000" w:sz="4" w:space="0"/>
              <w:right w:val="nil"/>
            </w:tcBorders>
            <w:noWrap w:val="0"/>
            <w:vAlign w:val="center"/>
          </w:tcPr>
          <w:p>
            <w:pPr>
              <w:jc w:val="center"/>
              <w:rPr>
                <w:rFonts w:hint="eastAsia" w:ascii="黑体" w:hAnsi="宋体" w:eastAsia="黑体" w:cs="黑体"/>
                <w:i w:val="0"/>
                <w:color w:val="000000"/>
                <w:sz w:val="22"/>
                <w:szCs w:val="22"/>
                <w:u w:val="none"/>
              </w:rPr>
            </w:pPr>
          </w:p>
        </w:tc>
        <w:tc>
          <w:tcPr>
            <w:tcW w:w="1704"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黑体" w:hAnsi="宋体" w:eastAsia="黑体" w:cs="黑体"/>
                <w:i w:val="0"/>
                <w:color w:val="000000"/>
                <w:sz w:val="22"/>
                <w:szCs w:val="22"/>
                <w:u w:val="none"/>
              </w:rPr>
            </w:pPr>
          </w:p>
        </w:tc>
        <w:tc>
          <w:tcPr>
            <w:tcW w:w="1704" w:type="dxa"/>
            <w:vMerge w:val="restart"/>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未动工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土地面积</w:t>
            </w:r>
          </w:p>
        </w:tc>
        <w:tc>
          <w:tcPr>
            <w:tcW w:w="1704" w:type="dxa"/>
            <w:vMerge w:val="restart"/>
            <w:tcBorders>
              <w:top w:val="nil"/>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已动工未竣工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土地面积</w:t>
            </w:r>
          </w:p>
        </w:tc>
        <w:tc>
          <w:tcPr>
            <w:tcW w:w="1935" w:type="dxa"/>
            <w:tcBorders>
              <w:top w:val="nil"/>
              <w:left w:val="nil"/>
              <w:bottom w:val="nil"/>
              <w:right w:val="single" w:color="000000" w:sz="4" w:space="0"/>
            </w:tcBorders>
            <w:noWrap w:val="0"/>
            <w:vAlign w:val="center"/>
          </w:tcPr>
          <w:p>
            <w:pPr>
              <w:rPr>
                <w:rFonts w:hint="eastAsia" w:ascii="黑体" w:hAnsi="宋体" w:eastAsia="黑体" w:cs="黑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704" w:type="dxa"/>
            <w:vMerge w:val="continue"/>
            <w:tcBorders>
              <w:top w:val="single" w:color="000000" w:sz="4" w:space="0"/>
              <w:left w:val="nil"/>
              <w:bottom w:val="single" w:color="000000" w:sz="4" w:space="0"/>
              <w:right w:val="nil"/>
            </w:tcBorders>
            <w:noWrap w:val="0"/>
            <w:vAlign w:val="center"/>
          </w:tcPr>
          <w:p>
            <w:pPr>
              <w:jc w:val="center"/>
              <w:rPr>
                <w:rFonts w:hint="eastAsia" w:ascii="黑体" w:hAnsi="宋体" w:eastAsia="黑体" w:cs="黑体"/>
                <w:i w:val="0"/>
                <w:color w:val="000000"/>
                <w:sz w:val="22"/>
                <w:szCs w:val="22"/>
                <w:u w:val="none"/>
              </w:rPr>
            </w:pPr>
          </w:p>
        </w:tc>
        <w:tc>
          <w:tcPr>
            <w:tcW w:w="1704"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黑体" w:hAnsi="宋体" w:eastAsia="黑体" w:cs="黑体"/>
                <w:i w:val="0"/>
                <w:color w:val="000000"/>
                <w:sz w:val="22"/>
                <w:szCs w:val="22"/>
                <w:u w:val="none"/>
              </w:rPr>
            </w:pPr>
          </w:p>
        </w:tc>
        <w:tc>
          <w:tcPr>
            <w:tcW w:w="1704" w:type="dxa"/>
            <w:vMerge w:val="continue"/>
            <w:tcBorders>
              <w:top w:val="nil"/>
              <w:left w:val="single" w:color="000000" w:sz="4" w:space="0"/>
              <w:bottom w:val="single" w:color="000000" w:sz="4" w:space="0"/>
              <w:right w:val="nil"/>
            </w:tcBorders>
            <w:noWrap w:val="0"/>
            <w:vAlign w:val="center"/>
          </w:tcPr>
          <w:p>
            <w:pPr>
              <w:jc w:val="center"/>
              <w:rPr>
                <w:rFonts w:hint="eastAsia" w:ascii="黑体" w:hAnsi="宋体" w:eastAsia="黑体" w:cs="黑体"/>
                <w:i w:val="0"/>
                <w:color w:val="000000"/>
                <w:sz w:val="22"/>
                <w:szCs w:val="22"/>
                <w:u w:val="none"/>
              </w:rPr>
            </w:pPr>
          </w:p>
        </w:tc>
        <w:tc>
          <w:tcPr>
            <w:tcW w:w="1704" w:type="dxa"/>
            <w:vMerge w:val="continue"/>
            <w:tcBorders>
              <w:top w:val="nil"/>
              <w:left w:val="single" w:color="000000" w:sz="4" w:space="0"/>
              <w:bottom w:val="single" w:color="000000" w:sz="4" w:space="0"/>
              <w:right w:val="nil"/>
            </w:tcBorders>
            <w:noWrap w:val="0"/>
            <w:vAlign w:val="center"/>
          </w:tcPr>
          <w:p>
            <w:pPr>
              <w:jc w:val="center"/>
              <w:rPr>
                <w:rFonts w:hint="eastAsia" w:ascii="黑体" w:hAnsi="宋体" w:eastAsia="黑体" w:cs="黑体"/>
                <w:i w:val="0"/>
                <w:color w:val="000000"/>
                <w:sz w:val="22"/>
                <w:szCs w:val="22"/>
                <w:u w:val="none"/>
              </w:rPr>
            </w:pP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未销售房屋的</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土地面积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170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（1）</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（2）</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（3）</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（4）</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白银区</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30.00 </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108.11 </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39.23 </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68.88 </w:t>
            </w:r>
          </w:p>
        </w:tc>
        <w:tc>
          <w:tcPr>
            <w:tcW w:w="19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 xml:space="preserve">65.21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平川区</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35.96 </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11.46 </w:t>
            </w:r>
          </w:p>
        </w:tc>
        <w:tc>
          <w:tcPr>
            <w:tcW w:w="170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24.50 </w:t>
            </w:r>
          </w:p>
        </w:tc>
        <w:tc>
          <w:tcPr>
            <w:tcW w:w="19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38</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 xml:space="preserve">144.07 </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 xml:space="preserve">50.69 </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 xml:space="preserve">93.38 </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 xml:space="preserve">80.79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9831" w:type="dxa"/>
            <w:gridSpan w:val="6"/>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填表说明：各表项数量关系（2）=（3）+（4）；（4）≥（5）</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未销售房屋土地面积指已动工未竣工地块中尚未取得销售许可和预售许可的房屋建筑所对应的地块面积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5ODQ3ZmI3NDM3MmIxZTkyOWY4MDE2MmI1ZTA0MjcifQ=="/>
  </w:docVars>
  <w:rsids>
    <w:rsidRoot w:val="14ED161D"/>
    <w:rsid w:val="14ED1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189</Words>
  <Characters>247</Characters>
  <Lines>0</Lines>
  <Paragraphs>0</Paragraphs>
  <TotalTime>0</TotalTime>
  <ScaleCrop>false</ScaleCrop>
  <LinksUpToDate>false</LinksUpToDate>
  <CharactersWithSpaces>262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2022-06-27T07:35:00Z</dcterms:created>
  <dc:creator>未央花开1389836004</dc:creator>
  <cp:lastModifiedBy>未央花开1389836004</cp:lastModifiedBy>
  <dcterms:modified xsi:type="dcterms:W3CDTF">2022-06-27T07:36:24Z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F2D4DB099BFD4F79B931D7B677AABFE4</vt:lpwstr>
  </property>
</Properties>
</file>