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312" w:afterLines="100" w:line="560" w:lineRule="exact"/>
        <w:jc w:val="center"/>
        <w:rPr>
          <w:rFonts w:ascii="方正小标宋_GBK" w:eastAsia="方正小标宋_GBK"/>
          <w:sz w:val="44"/>
          <w:szCs w:val="44"/>
        </w:rPr>
      </w:pPr>
      <w:r>
        <w:rPr>
          <w:rFonts w:hint="eastAsia" w:ascii="方正小标宋_GBK" w:eastAsia="方正小标宋_GBK"/>
          <w:sz w:val="44"/>
          <w:szCs w:val="44"/>
        </w:rPr>
        <w:t>白银城区希望职业技术学校西侧片区国土空间详细规划公示稿</w:t>
      </w:r>
    </w:p>
    <w:p>
      <w:pPr>
        <w:pStyle w:val="2"/>
        <w:numPr>
          <w:ilvl w:val="0"/>
          <w:numId w:val="1"/>
        </w:numPr>
        <w:spacing w:before="0" w:after="0" w:line="500" w:lineRule="exact"/>
        <w:ind w:left="442" w:firstLine="0" w:firstLineChars="0"/>
        <w:rPr>
          <w:rFonts w:ascii="仿宋_GB2312" w:eastAsia="仿宋_GB2312"/>
          <w:sz w:val="30"/>
          <w:szCs w:val="30"/>
        </w:rPr>
      </w:pPr>
      <w:r>
        <w:rPr>
          <w:rFonts w:hint="eastAsia" w:ascii="仿宋_GB2312" w:eastAsia="仿宋_GB2312"/>
          <w:sz w:val="30"/>
          <w:szCs w:val="30"/>
        </w:rPr>
        <w:t>编制背景</w:t>
      </w:r>
    </w:p>
    <w:p>
      <w:pPr>
        <w:spacing w:line="500" w:lineRule="exact"/>
        <w:ind w:firstLine="495" w:firstLineChars="177"/>
        <w:rPr>
          <w:rFonts w:ascii="仿宋_GB2312" w:eastAsia="仿宋_GB2312"/>
          <w:sz w:val="28"/>
          <w:szCs w:val="32"/>
        </w:rPr>
      </w:pPr>
      <w:r>
        <w:rPr>
          <w:rFonts w:hint="eastAsia" w:ascii="仿宋_GB2312" w:eastAsia="仿宋_GB2312"/>
          <w:sz w:val="28"/>
          <w:szCs w:val="32"/>
        </w:rPr>
        <w:t>为保障白银中心城区实施国土空间开发保护和用途管制，按照《城乡规划法》和《甘肃省城乡规划条例》相关规定，及《自然资源部关于加强国土空间详细规划工作的通知》《关于加强国土空间详细规划工作有关事项的通知》的相关要求，依据《白银市国土空间总体规划（</w:t>
      </w:r>
      <w:r>
        <w:rPr>
          <w:rFonts w:ascii="仿宋_GB2312" w:eastAsia="仿宋_GB2312"/>
          <w:sz w:val="28"/>
          <w:szCs w:val="32"/>
        </w:rPr>
        <w:t>2021-2035年）》，组织编制了白银城区希望职业技术学校西侧片区国土空间详细规划。</w:t>
      </w:r>
    </w:p>
    <w:p>
      <w:pPr>
        <w:pStyle w:val="2"/>
        <w:numPr>
          <w:ilvl w:val="0"/>
          <w:numId w:val="1"/>
        </w:numPr>
        <w:spacing w:before="0" w:after="0" w:line="500" w:lineRule="exact"/>
        <w:ind w:left="442" w:firstLine="0" w:firstLineChars="0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30"/>
          <w:szCs w:val="30"/>
        </w:rPr>
        <w:t>项目概述</w:t>
      </w:r>
    </w:p>
    <w:p>
      <w:pPr>
        <w:spacing w:line="500" w:lineRule="exact"/>
        <w:ind w:firstLine="495" w:firstLineChars="177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28"/>
          <w:szCs w:val="32"/>
        </w:rPr>
        <w:t>希望职业技术学校西侧片区位于宁波路以西，杭州路以东，广州路以南，银西东路以北，规划范围总面约为94.77公顷。</w:t>
      </w:r>
    </w:p>
    <w:p>
      <w:pPr>
        <w:keepNext/>
        <w:spacing w:line="360" w:lineRule="auto"/>
        <w:jc w:val="center"/>
      </w:pPr>
      <w:r>
        <w:rPr>
          <w:rFonts w:hint="eastAsia"/>
        </w:rPr>
        <w:drawing>
          <wp:inline distT="0" distB="0" distL="0" distR="0">
            <wp:extent cx="5747385" cy="3461385"/>
            <wp:effectExtent l="0" t="0" r="5715" b="5715"/>
            <wp:docPr id="5024677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67770" name="图片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  <w:sectPr>
          <w:footerReference r:id="rId3" w:type="default"/>
          <w:pgSz w:w="11906" w:h="16838"/>
          <w:pgMar w:top="1440" w:right="1418" w:bottom="1440" w:left="1418" w:header="851" w:footer="992" w:gutter="0"/>
          <w:cols w:space="425" w:num="1"/>
          <w:docGrid w:type="lines" w:linePitch="312" w:charSpace="0"/>
        </w:sect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</w:rPr>
        <w:t xml:space="preserve"> 希望职业技术学校西侧片区位置示意图</w:t>
      </w:r>
    </w:p>
    <w:p>
      <w:pPr>
        <w:pStyle w:val="2"/>
        <w:spacing w:before="0" w:after="0" w:line="500" w:lineRule="exact"/>
        <w:ind w:firstLine="602"/>
        <w:rPr>
          <w:rFonts w:ascii="仿宋_GB2312" w:eastAsia="仿宋_GB2312"/>
          <w:sz w:val="30"/>
          <w:szCs w:val="30"/>
        </w:rPr>
      </w:pPr>
      <w:r>
        <w:rPr>
          <w:rFonts w:hint="eastAsia" w:ascii="仿宋_GB2312" w:eastAsia="仿宋_GB2312"/>
          <w:sz w:val="30"/>
          <w:szCs w:val="30"/>
        </w:rPr>
        <w:t>三、详细规划编制方案</w:t>
      </w:r>
    </w:p>
    <w:p>
      <w:pPr>
        <w:numPr>
          <w:ilvl w:val="0"/>
          <w:numId w:val="2"/>
        </w:numPr>
        <w:spacing w:line="500" w:lineRule="exact"/>
        <w:ind w:hanging="293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28"/>
          <w:szCs w:val="28"/>
        </w:rPr>
        <w:t>功能定位</w:t>
      </w:r>
    </w:p>
    <w:p>
      <w:pPr>
        <w:spacing w:line="500" w:lineRule="exact"/>
        <w:ind w:firstLine="495" w:firstLineChars="177"/>
        <w:rPr>
          <w:rFonts w:ascii="仿宋_GB2312" w:eastAsia="仿宋_GB2312"/>
          <w:sz w:val="28"/>
          <w:szCs w:val="32"/>
        </w:rPr>
      </w:pPr>
      <w:r>
        <w:rPr>
          <w:rFonts w:hint="eastAsia" w:ascii="仿宋_GB2312" w:eastAsia="仿宋_GB2312"/>
          <w:sz w:val="28"/>
          <w:szCs w:val="32"/>
        </w:rPr>
        <w:t>甘肃白银西区经济开发区（银西产业园）中部新材料园区的拓展区。</w:t>
      </w:r>
    </w:p>
    <w:p>
      <w:pPr>
        <w:numPr>
          <w:ilvl w:val="0"/>
          <w:numId w:val="2"/>
        </w:numPr>
        <w:spacing w:line="500" w:lineRule="exact"/>
        <w:ind w:hanging="293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28"/>
          <w:szCs w:val="28"/>
        </w:rPr>
        <w:t>用地规模</w:t>
      </w:r>
    </w:p>
    <w:p>
      <w:pPr>
        <w:spacing w:line="500" w:lineRule="exact"/>
        <w:ind w:firstLine="495" w:firstLineChars="177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28"/>
          <w:szCs w:val="28"/>
        </w:rPr>
        <w:t>片区规划范围总面积为</w:t>
      </w:r>
      <w:r>
        <w:rPr>
          <w:rFonts w:hint="eastAsia" w:ascii="仿宋_GB2312" w:eastAsia="仿宋_GB2312"/>
          <w:sz w:val="28"/>
          <w:szCs w:val="32"/>
        </w:rPr>
        <w:t>94.77 公顷</w:t>
      </w:r>
      <w:r>
        <w:rPr>
          <w:rFonts w:hint="eastAsia" w:ascii="仿宋_GB2312" w:eastAsia="仿宋_GB2312"/>
          <w:sz w:val="28"/>
          <w:szCs w:val="28"/>
        </w:rPr>
        <w:t>，其中城镇住宅用地4.35公顷，占规划区总面积的4.59%；高等教育用地13.15公顷，占规划区总面积的13.88%；一类工业用地63.05公顷，占规划区总面积的66.53%；防护绿地3.74公顷，占规划区总面积的3.95%</w:t>
      </w:r>
      <w:r>
        <w:rPr>
          <w:rFonts w:hint="eastAsia" w:ascii="仿宋_GB2312" w:eastAsia="仿宋_GB2312"/>
          <w:sz w:val="28"/>
          <w:szCs w:val="32"/>
        </w:rPr>
        <w:t>。</w:t>
      </w:r>
    </w:p>
    <w:p>
      <w:pPr>
        <w:numPr>
          <w:ilvl w:val="0"/>
          <w:numId w:val="2"/>
        </w:numPr>
        <w:spacing w:line="500" w:lineRule="exact"/>
        <w:ind w:hanging="293"/>
        <w:rPr>
          <w:rFonts w:ascii="仿宋_GB2312" w:eastAsia="仿宋_GB2312"/>
          <w:sz w:val="28"/>
          <w:szCs w:val="28"/>
        </w:rPr>
      </w:pPr>
      <w:r>
        <w:rPr>
          <w:rFonts w:hint="eastAsia" w:ascii="仿宋_GB2312" w:eastAsia="仿宋_GB2312"/>
          <w:sz w:val="28"/>
          <w:szCs w:val="28"/>
        </w:rPr>
        <w:t>控制指标</w:t>
      </w:r>
    </w:p>
    <w:p>
      <w:pPr>
        <w:pStyle w:val="3"/>
        <w:keepNext/>
        <w:jc w:val="center"/>
      </w:pPr>
      <w:r>
        <w:t xml:space="preserve">表 </w:t>
      </w:r>
      <w:r>
        <w:fldChar w:fldCharType="begin"/>
      </w:r>
      <w:r>
        <w:instrText xml:space="preserve"> SEQ 表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</w:rPr>
        <w:t xml:space="preserve"> 希望职业技术学校西侧片区建设用地控制指标一览表</w:t>
      </w:r>
    </w:p>
    <w:tbl>
      <w:tblPr>
        <w:tblStyle w:val="8"/>
        <w:tblW w:w="94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2"/>
        <w:gridCol w:w="886"/>
        <w:gridCol w:w="805"/>
        <w:gridCol w:w="1186"/>
        <w:gridCol w:w="791"/>
        <w:gridCol w:w="894"/>
        <w:gridCol w:w="834"/>
        <w:gridCol w:w="768"/>
        <w:gridCol w:w="1855"/>
        <w:gridCol w:w="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地块编号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用地</w:t>
            </w:r>
          </w:p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代码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用地</w:t>
            </w:r>
          </w:p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名称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用地面积（</w:t>
            </w:r>
            <w:r>
              <w:rPr>
                <w:rFonts w:hint="eastAsia" w:ascii="Segoe UI Symbol" w:hAnsi="Segoe UI Symbol" w:eastAsia="Segoe UI Symbol" w:cs="Segoe UI Symbol"/>
                <w:b/>
                <w:bCs/>
                <w:kern w:val="0"/>
              </w:rPr>
              <w:t>㎡</w:t>
            </w:r>
            <w:r>
              <w:rPr>
                <w:rFonts w:hint="eastAsia" w:ascii="仿宋_GB2312" w:hAnsi="仿宋_GB2312" w:eastAsia="仿宋_GB2312" w:cs="仿宋_GB2312"/>
                <w:b/>
                <w:bCs/>
                <w:kern w:val="0"/>
              </w:rPr>
              <w:t>）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容积率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建筑系数/密度（%）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建筑限高（m）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绿地率（%）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配套设施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spacing w:line="240" w:lineRule="exact"/>
              <w:jc w:val="center"/>
              <w:rPr>
                <w:rFonts w:ascii="仿宋_GB2312" w:hAnsi="宋体" w:eastAsia="仿宋_GB2312" w:cs="宋体"/>
                <w:b/>
                <w:bCs/>
                <w:kern w:val="0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kern w:val="0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J1-01-01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100101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一类工业用地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133255.86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≥0.6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≥40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≤24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详见图则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J1-01-02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100101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一类工业用地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101587.01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≥0.6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≥40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≤24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详见图则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J1-01-03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1402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防护绿地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20355.95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J2-01-01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100101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一类工业用地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131582.04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≥0.6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≥40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≤24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详见图则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J2-01-02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1402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防护绿地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17081.75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J2-01-03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07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居住用地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43476.00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≤2.9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≤25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≤80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≥30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0.7车位/户；</w:t>
            </w:r>
          </w:p>
          <w:p>
            <w:pPr>
              <w:rPr>
                <w:rFonts w:ascii="仿宋_GB2312" w:hAnsi="宋体" w:eastAsia="仿宋_GB2312" w:cs="宋体"/>
                <w:kern w:val="0"/>
                <w:sz w:val="15"/>
                <w:szCs w:val="16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商业建筑0.6车位/100</w:t>
            </w:r>
            <w:r>
              <w:rPr>
                <w:rFonts w:hint="eastAsia" w:ascii="宋体" w:hAnsi="宋体" w:eastAsia="宋体" w:cs="宋体"/>
              </w:rPr>
              <w:t>㎡</w:t>
            </w:r>
            <w:r>
              <w:rPr>
                <w:rFonts w:hint="eastAsia" w:ascii="仿宋_GB2312" w:hAnsi="宋体" w:eastAsia="仿宋_GB2312" w:cs="宋体"/>
                <w:kern w:val="0"/>
              </w:rPr>
              <w:t>建筑面积。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  <w:sz w:val="15"/>
                <w:szCs w:val="16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现状指标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J2-01-04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080401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高等教育用地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131541.50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≤1.2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≤30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≤80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≥35</w:t>
            </w:r>
          </w:p>
        </w:tc>
        <w:tc>
          <w:tcPr>
            <w:tcW w:w="1855" w:type="dxa"/>
            <w:noWrap/>
            <w:vAlign w:val="center"/>
          </w:tcPr>
          <w:p>
            <w:pPr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0.2车位/100</w:t>
            </w:r>
            <w:r>
              <w:rPr>
                <w:rFonts w:hint="eastAsia" w:ascii="宋体" w:hAnsi="宋体" w:eastAsia="宋体" w:cs="宋体"/>
              </w:rPr>
              <w:t>㎡</w:t>
            </w:r>
          </w:p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  <w:sz w:val="15"/>
                <w:szCs w:val="16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建筑面积。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  <w:sz w:val="15"/>
                <w:szCs w:val="16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现状指标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  <w:tblHeader/>
        </w:trPr>
        <w:tc>
          <w:tcPr>
            <w:tcW w:w="832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J3-01</w:t>
            </w:r>
          </w:p>
        </w:tc>
        <w:tc>
          <w:tcPr>
            <w:tcW w:w="8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100101</w:t>
            </w:r>
          </w:p>
        </w:tc>
        <w:tc>
          <w:tcPr>
            <w:tcW w:w="80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一类工业用地</w:t>
            </w:r>
          </w:p>
        </w:tc>
        <w:tc>
          <w:tcPr>
            <w:tcW w:w="1186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264060.91</w:t>
            </w:r>
          </w:p>
        </w:tc>
        <w:tc>
          <w:tcPr>
            <w:tcW w:w="79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≥0.6</w:t>
            </w:r>
          </w:p>
        </w:tc>
        <w:tc>
          <w:tcPr>
            <w:tcW w:w="89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≥40</w:t>
            </w:r>
          </w:p>
        </w:tc>
        <w:tc>
          <w:tcPr>
            <w:tcW w:w="834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≤24</w:t>
            </w:r>
          </w:p>
        </w:tc>
        <w:tc>
          <w:tcPr>
            <w:tcW w:w="768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1855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  <w:tc>
          <w:tcPr>
            <w:tcW w:w="641" w:type="dxa"/>
            <w:noWrap/>
            <w:vAlign w:val="center"/>
          </w:tcPr>
          <w:p>
            <w:pPr>
              <w:widowControl/>
              <w:jc w:val="center"/>
              <w:rPr>
                <w:rFonts w:ascii="仿宋_GB2312" w:hAnsi="宋体" w:eastAsia="仿宋_GB2312" w:cs="宋体"/>
                <w:kern w:val="0"/>
              </w:rPr>
            </w:pPr>
            <w:r>
              <w:rPr>
                <w:rFonts w:hint="eastAsia" w:ascii="仿宋_GB2312" w:hAnsi="宋体" w:eastAsia="仿宋_GB2312" w:cs="宋体"/>
                <w:kern w:val="0"/>
              </w:rPr>
              <w:t>--</w:t>
            </w:r>
          </w:p>
        </w:tc>
      </w:tr>
    </w:tbl>
    <w:p>
      <w:pPr>
        <w:spacing w:line="360" w:lineRule="auto"/>
        <w:jc w:val="center"/>
        <w:rPr>
          <w:rFonts w:ascii="仿宋_GB2312" w:eastAsia="仿宋_GB2312"/>
          <w:sz w:val="24"/>
          <w:szCs w:val="28"/>
        </w:rPr>
        <w:sectPr>
          <w:pgSz w:w="11906" w:h="16838"/>
          <w:pgMar w:top="1440" w:right="1418" w:bottom="1440" w:left="1418" w:header="851" w:footer="992" w:gutter="0"/>
          <w:cols w:space="425" w:num="1"/>
          <w:docGrid w:type="lines" w:linePitch="312" w:charSpace="0"/>
        </w:sectPr>
      </w:pPr>
    </w:p>
    <w:p>
      <w:pPr>
        <w:pStyle w:val="12"/>
        <w:spacing w:line="360" w:lineRule="auto"/>
        <w:ind w:firstLine="0" w:firstLineChars="0"/>
        <w:jc w:val="center"/>
        <w:rPr>
          <w:rFonts w:hint="eastAsia" w:ascii="仿宋_GB2312" w:eastAsia="仿宋_GB2312"/>
          <w:sz w:val="24"/>
          <w:szCs w:val="28"/>
        </w:rPr>
      </w:pPr>
      <w:r>
        <w:rPr>
          <w:rFonts w:hint="eastAsia" w:ascii="仿宋_GB2312" w:eastAsia="仿宋_GB2312"/>
          <w:sz w:val="24"/>
          <w:szCs w:val="28"/>
        </w:rPr>
        <w:drawing>
          <wp:inline distT="0" distB="0" distL="0" distR="0">
            <wp:extent cx="12736195" cy="8496935"/>
            <wp:effectExtent l="0" t="0" r="8255" b="18415"/>
            <wp:docPr id="9268864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86413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37402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spacing w:line="360" w:lineRule="auto"/>
        <w:ind w:firstLine="0" w:firstLineChars="0"/>
        <w:jc w:val="center"/>
        <w:rPr>
          <w:rFonts w:hint="eastAsia" w:ascii="仿宋_GB2312" w:eastAsia="仿宋_GB2312"/>
          <w:sz w:val="24"/>
          <w:szCs w:val="28"/>
        </w:rPr>
      </w:pPr>
    </w:p>
    <w:p>
      <w:pPr>
        <w:pStyle w:val="12"/>
        <w:spacing w:line="360" w:lineRule="auto"/>
        <w:ind w:firstLine="0" w:firstLineChars="0"/>
        <w:jc w:val="center"/>
        <w:rPr>
          <w:rFonts w:ascii="仿宋_GB2312" w:eastAsia="仿宋_GB2312"/>
          <w:sz w:val="24"/>
          <w:szCs w:val="28"/>
        </w:rPr>
      </w:pPr>
      <w:r>
        <w:rPr>
          <w:sz w:val="22"/>
          <w:szCs w:val="24"/>
        </w:rPr>
        <w:t xml:space="preserve">图 </w:t>
      </w:r>
      <w:r>
        <w:rPr>
          <w:sz w:val="22"/>
          <w:szCs w:val="24"/>
        </w:rPr>
        <w:fldChar w:fldCharType="begin"/>
      </w:r>
      <w:r>
        <w:rPr>
          <w:sz w:val="22"/>
          <w:szCs w:val="24"/>
        </w:rPr>
        <w:instrText xml:space="preserve"> SEQ 图 \* ARABIC </w:instrText>
      </w:r>
      <w:r>
        <w:rPr>
          <w:sz w:val="22"/>
          <w:szCs w:val="24"/>
        </w:rPr>
        <w:fldChar w:fldCharType="separate"/>
      </w:r>
      <w:r>
        <w:rPr>
          <w:sz w:val="22"/>
          <w:szCs w:val="24"/>
        </w:rPr>
        <w:t>2</w:t>
      </w:r>
      <w:r>
        <w:rPr>
          <w:sz w:val="22"/>
          <w:szCs w:val="24"/>
        </w:rPr>
        <w:fldChar w:fldCharType="end"/>
      </w:r>
      <w:r>
        <w:rPr>
          <w:rFonts w:hint="eastAsia"/>
          <w:sz w:val="22"/>
          <w:szCs w:val="24"/>
        </w:rPr>
        <w:t xml:space="preserve"> 希望职业技术学校西侧片区土地利用规划图</w:t>
      </w:r>
    </w:p>
    <w:p>
      <w:pPr>
        <w:pStyle w:val="12"/>
        <w:spacing w:line="360" w:lineRule="auto"/>
        <w:ind w:firstLine="0" w:firstLineChars="0"/>
        <w:jc w:val="center"/>
        <w:rPr>
          <w:rFonts w:ascii="仿宋_GB2312" w:eastAsia="仿宋_GB2312"/>
          <w:sz w:val="24"/>
          <w:szCs w:val="28"/>
        </w:rPr>
      </w:pPr>
      <w:r>
        <w:drawing>
          <wp:inline distT="0" distB="0" distL="0" distR="0">
            <wp:extent cx="13015595" cy="9195435"/>
            <wp:effectExtent l="0" t="0" r="0" b="5715"/>
            <wp:docPr id="8260012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01266" name="图片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17875" cy="919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spacing w:line="360" w:lineRule="auto"/>
        <w:ind w:firstLine="0" w:firstLineChars="0"/>
        <w:jc w:val="center"/>
        <w:rPr>
          <w:rFonts w:ascii="仿宋_GB2312" w:eastAsia="仿宋_GB2312"/>
          <w:sz w:val="24"/>
          <w:szCs w:val="28"/>
        </w:rPr>
        <w:sectPr>
          <w:pgSz w:w="23811" w:h="16838" w:orient="landscape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>
      <w:pPr>
        <w:jc w:val="center"/>
      </w:pPr>
      <w:r>
        <w:drawing>
          <wp:inline distT="0" distB="0" distL="0" distR="0">
            <wp:extent cx="12927330" cy="9128125"/>
            <wp:effectExtent l="0" t="0" r="7620" b="0"/>
            <wp:docPr id="142698629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86292" name="图片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31421" cy="913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</w:pPr>
      <w:r>
        <w:drawing>
          <wp:inline distT="0" distB="0" distL="0" distR="0">
            <wp:extent cx="12814935" cy="9049385"/>
            <wp:effectExtent l="0" t="0" r="5715" b="0"/>
            <wp:docPr id="71180314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803146" name="图片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17712" cy="905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23811" w:h="16838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Segoe UI Symbol">
    <w:panose1 w:val="020B0502040204020203"/>
    <w:charset w:val="00"/>
    <w:family w:val="swiss"/>
    <w:pitch w:val="default"/>
    <w:sig w:usb0="8000006F" w:usb1="1200FBEF" w:usb2="0064C000" w:usb3="00000002" w:csb0="00000001" w:csb1="4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2040891716"/>
    </w:sdtPr>
    <w:sdtContent>
      <w:p>
        <w:pPr>
          <w:pStyle w:val="5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3B73F3F"/>
    <w:multiLevelType w:val="multilevel"/>
    <w:tmpl w:val="03B73F3F"/>
    <w:lvl w:ilvl="0" w:tentative="0">
      <w:start w:val="1"/>
      <w:numFmt w:val="chineseCountingThousand"/>
      <w:lvlText w:val="%1、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25F54E8C"/>
    <w:multiLevelType w:val="singleLevel"/>
    <w:tmpl w:val="25F54E8C"/>
    <w:lvl w:ilvl="0" w:tentative="0">
      <w:start w:val="1"/>
      <w:numFmt w:val="decimal"/>
      <w:lvlText w:val="%1、"/>
      <w:lvlJc w:val="left"/>
      <w:pPr>
        <w:ind w:left="860" w:hanging="440"/>
      </w:pPr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bordersDoNotSurroundHeader w:val="1"/>
  <w:bordersDoNotSurroundFooter w:val="1"/>
  <w:documentProtection w:enforcement="0"/>
  <w:defaultTabStop w:val="105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YzYjEyZGU0ZTA2ZTU0YzhkMjViY2ZiNjI4ODUzMzMifQ=="/>
  </w:docVars>
  <w:rsids>
    <w:rsidRoot w:val="0001025A"/>
    <w:rsid w:val="00007FF9"/>
    <w:rsid w:val="0001025A"/>
    <w:rsid w:val="000C0CEB"/>
    <w:rsid w:val="000F3EEF"/>
    <w:rsid w:val="0011349A"/>
    <w:rsid w:val="00152D0B"/>
    <w:rsid w:val="00164198"/>
    <w:rsid w:val="001749A7"/>
    <w:rsid w:val="0021551F"/>
    <w:rsid w:val="0022029F"/>
    <w:rsid w:val="00246304"/>
    <w:rsid w:val="0025598E"/>
    <w:rsid w:val="00290624"/>
    <w:rsid w:val="002A4985"/>
    <w:rsid w:val="002D0E28"/>
    <w:rsid w:val="00301705"/>
    <w:rsid w:val="00336EC1"/>
    <w:rsid w:val="0042450F"/>
    <w:rsid w:val="004416E7"/>
    <w:rsid w:val="00455506"/>
    <w:rsid w:val="00496243"/>
    <w:rsid w:val="004966E9"/>
    <w:rsid w:val="004A3698"/>
    <w:rsid w:val="004B385B"/>
    <w:rsid w:val="004F4751"/>
    <w:rsid w:val="005234C3"/>
    <w:rsid w:val="005558CC"/>
    <w:rsid w:val="0057132E"/>
    <w:rsid w:val="005737F9"/>
    <w:rsid w:val="005A0DB5"/>
    <w:rsid w:val="005B3E7F"/>
    <w:rsid w:val="005D7C06"/>
    <w:rsid w:val="005F5F1B"/>
    <w:rsid w:val="00633DBE"/>
    <w:rsid w:val="0063547C"/>
    <w:rsid w:val="00665468"/>
    <w:rsid w:val="00717FC0"/>
    <w:rsid w:val="00747B0D"/>
    <w:rsid w:val="007D4AF2"/>
    <w:rsid w:val="007D6CB5"/>
    <w:rsid w:val="007F1160"/>
    <w:rsid w:val="008029F8"/>
    <w:rsid w:val="008136BF"/>
    <w:rsid w:val="00824E63"/>
    <w:rsid w:val="00880D41"/>
    <w:rsid w:val="009212C8"/>
    <w:rsid w:val="00933B2F"/>
    <w:rsid w:val="0093591A"/>
    <w:rsid w:val="0093743A"/>
    <w:rsid w:val="00945830"/>
    <w:rsid w:val="0099211A"/>
    <w:rsid w:val="009975C3"/>
    <w:rsid w:val="009E39F7"/>
    <w:rsid w:val="009E7B8C"/>
    <w:rsid w:val="009F6910"/>
    <w:rsid w:val="00A10742"/>
    <w:rsid w:val="00A73908"/>
    <w:rsid w:val="00A826FD"/>
    <w:rsid w:val="00AD2F13"/>
    <w:rsid w:val="00AE436F"/>
    <w:rsid w:val="00AF03D6"/>
    <w:rsid w:val="00B217F3"/>
    <w:rsid w:val="00B71539"/>
    <w:rsid w:val="00B71CBA"/>
    <w:rsid w:val="00BB3477"/>
    <w:rsid w:val="00BD4C5D"/>
    <w:rsid w:val="00BF3EBC"/>
    <w:rsid w:val="00C26FD7"/>
    <w:rsid w:val="00C43F73"/>
    <w:rsid w:val="00C71B0D"/>
    <w:rsid w:val="00C915C1"/>
    <w:rsid w:val="00CA7E50"/>
    <w:rsid w:val="00CB3AF3"/>
    <w:rsid w:val="00D12EB3"/>
    <w:rsid w:val="00D16AF0"/>
    <w:rsid w:val="00D260C6"/>
    <w:rsid w:val="00D82096"/>
    <w:rsid w:val="00E01231"/>
    <w:rsid w:val="00E017D0"/>
    <w:rsid w:val="00EA21E6"/>
    <w:rsid w:val="00F54472"/>
    <w:rsid w:val="00F7315D"/>
    <w:rsid w:val="00FB2799"/>
    <w:rsid w:val="00FE027C"/>
    <w:rsid w:val="015D76ED"/>
    <w:rsid w:val="0184653E"/>
    <w:rsid w:val="022C0364"/>
    <w:rsid w:val="03C05F85"/>
    <w:rsid w:val="03D2580E"/>
    <w:rsid w:val="06363C26"/>
    <w:rsid w:val="06823015"/>
    <w:rsid w:val="06A74829"/>
    <w:rsid w:val="07097164"/>
    <w:rsid w:val="08CA6545"/>
    <w:rsid w:val="09360965"/>
    <w:rsid w:val="094835F9"/>
    <w:rsid w:val="0A720122"/>
    <w:rsid w:val="0B881A53"/>
    <w:rsid w:val="0CEB0F40"/>
    <w:rsid w:val="0D3263D0"/>
    <w:rsid w:val="0E79034A"/>
    <w:rsid w:val="0F6C360F"/>
    <w:rsid w:val="15A45C82"/>
    <w:rsid w:val="15C80049"/>
    <w:rsid w:val="198951F1"/>
    <w:rsid w:val="19C2220A"/>
    <w:rsid w:val="1C0177D4"/>
    <w:rsid w:val="1E356E9F"/>
    <w:rsid w:val="1E4D585F"/>
    <w:rsid w:val="1EBF221E"/>
    <w:rsid w:val="1F1116D9"/>
    <w:rsid w:val="2055370E"/>
    <w:rsid w:val="21051A44"/>
    <w:rsid w:val="22F56BF1"/>
    <w:rsid w:val="233B1741"/>
    <w:rsid w:val="26F94545"/>
    <w:rsid w:val="27585C0F"/>
    <w:rsid w:val="29454698"/>
    <w:rsid w:val="2EB03359"/>
    <w:rsid w:val="327374BF"/>
    <w:rsid w:val="33461C07"/>
    <w:rsid w:val="36B73835"/>
    <w:rsid w:val="36FB54B1"/>
    <w:rsid w:val="38683569"/>
    <w:rsid w:val="3B4D0D2C"/>
    <w:rsid w:val="3C54700A"/>
    <w:rsid w:val="3D855646"/>
    <w:rsid w:val="3E204FFC"/>
    <w:rsid w:val="3F0E7193"/>
    <w:rsid w:val="3F2B5BEE"/>
    <w:rsid w:val="3F715BA8"/>
    <w:rsid w:val="400716E9"/>
    <w:rsid w:val="457639E9"/>
    <w:rsid w:val="47D77BCB"/>
    <w:rsid w:val="47E24672"/>
    <w:rsid w:val="495C0A9C"/>
    <w:rsid w:val="4A0D0757"/>
    <w:rsid w:val="4A7B7C48"/>
    <w:rsid w:val="4A8E2CDD"/>
    <w:rsid w:val="4C505EC2"/>
    <w:rsid w:val="4D01600E"/>
    <w:rsid w:val="4F7423AB"/>
    <w:rsid w:val="525B35E6"/>
    <w:rsid w:val="53214FB5"/>
    <w:rsid w:val="570704C6"/>
    <w:rsid w:val="5C472CC1"/>
    <w:rsid w:val="5C867FFE"/>
    <w:rsid w:val="5E2F76C2"/>
    <w:rsid w:val="5EDD7F8D"/>
    <w:rsid w:val="61617F3B"/>
    <w:rsid w:val="6364696B"/>
    <w:rsid w:val="638E3701"/>
    <w:rsid w:val="647549DD"/>
    <w:rsid w:val="665723A3"/>
    <w:rsid w:val="66AA3373"/>
    <w:rsid w:val="6CC73435"/>
    <w:rsid w:val="6CC94E87"/>
    <w:rsid w:val="6DDE15FC"/>
    <w:rsid w:val="6E095596"/>
    <w:rsid w:val="6E27013D"/>
    <w:rsid w:val="6F4D5330"/>
    <w:rsid w:val="6F5D14B6"/>
    <w:rsid w:val="6F860864"/>
    <w:rsid w:val="6FC5169B"/>
    <w:rsid w:val="6FD03FAE"/>
    <w:rsid w:val="706525CA"/>
    <w:rsid w:val="70E1440C"/>
    <w:rsid w:val="719C17BF"/>
    <w:rsid w:val="72B31C71"/>
    <w:rsid w:val="79700963"/>
    <w:rsid w:val="79F41F0D"/>
    <w:rsid w:val="7A7A1A62"/>
    <w:rsid w:val="7C6B4804"/>
    <w:rsid w:val="7C866611"/>
    <w:rsid w:val="7F0D3AEF"/>
    <w:rsid w:val="7F1404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3"/>
    <w:autoRedefine/>
    <w:qFormat/>
    <w:uiPriority w:val="9"/>
    <w:pPr>
      <w:keepNext/>
      <w:keepLines/>
      <w:spacing w:before="340" w:after="330" w:line="578" w:lineRule="auto"/>
      <w:ind w:firstLine="200" w:firstLineChars="200"/>
      <w:outlineLvl w:val="0"/>
    </w:pPr>
    <w:rPr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caption"/>
    <w:basedOn w:val="1"/>
    <w:next w:val="1"/>
    <w:autoRedefine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4">
    <w:name w:val="Body Text Indent"/>
    <w:basedOn w:val="1"/>
    <w:autoRedefine/>
    <w:semiHidden/>
    <w:unhideWhenUsed/>
    <w:qFormat/>
    <w:uiPriority w:val="99"/>
    <w:pPr>
      <w:spacing w:after="120"/>
      <w:ind w:left="420" w:leftChars="200"/>
    </w:pPr>
  </w:style>
  <w:style w:type="paragraph" w:styleId="5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Body Text First Indent 2"/>
    <w:basedOn w:val="4"/>
    <w:autoRedefine/>
    <w:semiHidden/>
    <w:unhideWhenUsed/>
    <w:qFormat/>
    <w:uiPriority w:val="99"/>
    <w:pPr>
      <w:ind w:firstLine="420"/>
    </w:pPr>
  </w:style>
  <w:style w:type="character" w:customStyle="1" w:styleId="10">
    <w:name w:val="页眉 字符"/>
    <w:basedOn w:val="9"/>
    <w:link w:val="6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9"/>
    <w:link w:val="5"/>
    <w:autoRedefine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标题 1 字符"/>
    <w:basedOn w:val="9"/>
    <w:link w:val="2"/>
    <w:autoRedefine/>
    <w:qFormat/>
    <w:uiPriority w:val="9"/>
    <w:rPr>
      <w:rFonts w:asciiTheme="minorHAnsi" w:hAnsiTheme="minorHAnsi" w:eastAsiaTheme="minorEastAsia" w:cstheme="minorBidi"/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538</Words>
  <Characters>592</Characters>
  <Lines>49</Lines>
  <Paragraphs>51</Paragraphs>
  <TotalTime>0</TotalTime>
  <ScaleCrop>false</ScaleCrop>
  <LinksUpToDate>false</LinksUpToDate>
  <CharactersWithSpaces>1079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2024-04-03T08:48:00Z</dcterms:created>
  <dc:creator>admin</dc:creator>
  <cp:lastModifiedBy>Administrator</cp:lastModifiedBy>
  <cp:lastPrinted>2024-04-02T09:31:00Z</cp:lastPrinted>
  <dcterms:modified xsi:type="dcterms:W3CDTF">2024-04-19T01:27:04Z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58FB15F7E0E74A46B3286182B55C3EBE_13</vt:lpwstr>
  </property>
</Properties>
</file>