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color w:val="auto"/>
          <w:kern w:val="2"/>
          <w:sz w:val="32"/>
          <w:szCs w:val="32"/>
          <w:highlight w:val="none"/>
          <w:lang w:val="en-US" w:eastAsia="zh-CN" w:bidi="ar-SA"/>
        </w:rPr>
      </w:pPr>
    </w:p>
    <w:tbl>
      <w:tblPr>
        <w:tblStyle w:val="3"/>
        <w:tblW w:w="162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2"/>
        <w:gridCol w:w="855"/>
        <w:gridCol w:w="2145"/>
        <w:gridCol w:w="3806"/>
        <w:gridCol w:w="1309"/>
        <w:gridCol w:w="810"/>
        <w:gridCol w:w="735"/>
        <w:gridCol w:w="840"/>
        <w:gridCol w:w="1620"/>
        <w:gridCol w:w="930"/>
        <w:gridCol w:w="1170"/>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77" w:type="dxa"/>
            <w:gridSpan w:val="2"/>
            <w:tcBorders>
              <w:top w:val="nil"/>
              <w:left w:val="nil"/>
              <w:bottom w:val="nil"/>
              <w:right w:val="nil"/>
            </w:tcBorders>
            <w:noWrap/>
            <w:vAlign w:val="center"/>
          </w:tcPr>
          <w:p>
            <w:pPr>
              <w:jc w:val="left"/>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4"/>
                <w:szCs w:val="24"/>
                <w:u w:val="none"/>
                <w:lang w:val="en-US" w:eastAsia="zh-CN" w:bidi="ar"/>
              </w:rPr>
              <w:t>附件2</w:t>
            </w:r>
          </w:p>
        </w:tc>
        <w:tc>
          <w:tcPr>
            <w:tcW w:w="2145"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3806" w:type="dxa"/>
            <w:tcBorders>
              <w:top w:val="nil"/>
              <w:left w:val="nil"/>
              <w:bottom w:val="nil"/>
              <w:right w:val="nil"/>
            </w:tcBorders>
            <w:noWrap w:val="0"/>
            <w:vAlign w:val="center"/>
          </w:tcPr>
          <w:p>
            <w:pPr>
              <w:rPr>
                <w:rFonts w:hint="eastAsia" w:ascii="宋体" w:hAnsi="宋体" w:eastAsia="宋体" w:cs="宋体"/>
                <w:i w:val="0"/>
                <w:color w:val="000000"/>
                <w:sz w:val="24"/>
                <w:szCs w:val="24"/>
                <w:u w:val="none"/>
              </w:rPr>
            </w:pPr>
          </w:p>
        </w:tc>
        <w:tc>
          <w:tcPr>
            <w:tcW w:w="1309"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10"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735"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840"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1620"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930"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1170"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c>
          <w:tcPr>
            <w:tcW w:w="1440" w:type="dxa"/>
            <w:tcBorders>
              <w:top w:val="nil"/>
              <w:left w:val="nil"/>
              <w:bottom w:val="nil"/>
              <w:right w:val="nil"/>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82" w:type="dxa"/>
            <w:gridSpan w:val="12"/>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白银市本级2021年第四季度存量住宅用地项目清单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3622"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3806" w:type="dxa"/>
            <w:tcBorders>
              <w:top w:val="nil"/>
              <w:left w:val="nil"/>
              <w:bottom w:val="nil"/>
              <w:right w:val="nil"/>
            </w:tcBorders>
            <w:noWrap w:val="0"/>
            <w:vAlign w:val="center"/>
          </w:tcPr>
          <w:p>
            <w:pPr>
              <w:rPr>
                <w:rFonts w:hint="eastAsia" w:ascii="宋体" w:hAnsi="宋体" w:eastAsia="宋体" w:cs="宋体"/>
                <w:i w:val="0"/>
                <w:color w:val="000000"/>
                <w:sz w:val="20"/>
                <w:szCs w:val="20"/>
                <w:u w:val="none"/>
              </w:rPr>
            </w:pPr>
          </w:p>
        </w:tc>
        <w:tc>
          <w:tcPr>
            <w:tcW w:w="1309"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810"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735"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840"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1620"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930" w:type="dxa"/>
            <w:tcBorders>
              <w:top w:val="nil"/>
              <w:left w:val="nil"/>
              <w:bottom w:val="nil"/>
              <w:right w:val="nil"/>
            </w:tcBorders>
            <w:noWrap/>
            <w:vAlign w:val="center"/>
          </w:tcPr>
          <w:p>
            <w:pPr>
              <w:rPr>
                <w:rFonts w:hint="eastAsia" w:ascii="宋体" w:hAnsi="宋体" w:eastAsia="宋体" w:cs="宋体"/>
                <w:i w:val="0"/>
                <w:color w:val="000000"/>
                <w:sz w:val="20"/>
                <w:szCs w:val="20"/>
                <w:u w:val="none"/>
              </w:rPr>
            </w:pPr>
          </w:p>
        </w:tc>
        <w:tc>
          <w:tcPr>
            <w:tcW w:w="2610" w:type="dxa"/>
            <w:gridSpan w:val="2"/>
            <w:tcBorders>
              <w:top w:val="nil"/>
              <w:left w:val="nil"/>
              <w:bottom w:val="nil"/>
              <w:right w:val="nil"/>
            </w:tcBorders>
            <w:noWrap/>
            <w:vAlign w:val="center"/>
          </w:tcPr>
          <w:p>
            <w:pPr>
              <w:jc w:val="center"/>
              <w:rPr>
                <w:rFonts w:hint="eastAsia" w:ascii="宋体" w:hAnsi="宋体" w:eastAsia="宋体" w:cs="宋体"/>
                <w:i w:val="0"/>
                <w:color w:val="000000"/>
                <w:sz w:val="24"/>
                <w:szCs w:val="24"/>
                <w:u w:val="none"/>
              </w:rPr>
            </w:pPr>
            <w:r>
              <w:rPr>
                <w:rFonts w:hint="eastAsia" w:ascii="黑体" w:hAnsi="宋体" w:eastAsia="黑体" w:cs="黑体"/>
                <w:i w:val="0"/>
                <w:color w:val="000000"/>
                <w:kern w:val="0"/>
                <w:sz w:val="20"/>
                <w:szCs w:val="20"/>
                <w:u w:val="none"/>
                <w:lang w:val="en-US" w:eastAsia="zh-CN" w:bidi="ar"/>
              </w:rPr>
              <w:t>单位：公顷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6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序号</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行政区</w:t>
            </w:r>
          </w:p>
        </w:tc>
        <w:tc>
          <w:tcPr>
            <w:tcW w:w="21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项目名称</w:t>
            </w:r>
          </w:p>
        </w:tc>
        <w:tc>
          <w:tcPr>
            <w:tcW w:w="38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位置</w:t>
            </w:r>
          </w:p>
        </w:tc>
        <w:tc>
          <w:tcPr>
            <w:tcW w:w="1309"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住宅类型</w:t>
            </w:r>
          </w:p>
        </w:tc>
        <w:tc>
          <w:tcPr>
            <w:tcW w:w="2385" w:type="dxa"/>
            <w:gridSpan w:val="3"/>
            <w:tcBorders>
              <w:top w:val="single" w:color="000000" w:sz="4" w:space="0"/>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土地面积</w:t>
            </w:r>
          </w:p>
        </w:tc>
        <w:tc>
          <w:tcPr>
            <w:tcW w:w="16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建设状态</w:t>
            </w:r>
          </w:p>
        </w:tc>
        <w:tc>
          <w:tcPr>
            <w:tcW w:w="930" w:type="dxa"/>
            <w:vMerge w:val="restart"/>
            <w:tcBorders>
              <w:top w:val="single" w:color="000000" w:sz="4" w:space="0"/>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预售房屋</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土地面积</w:t>
            </w:r>
          </w:p>
        </w:tc>
        <w:tc>
          <w:tcPr>
            <w:tcW w:w="1170"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未销售房屋</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土地面积</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（未开工的不计入）</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地块编号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9" w:hRule="atLeast"/>
          <w:jc w:val="center"/>
        </w:trPr>
        <w:tc>
          <w:tcPr>
            <w:tcW w:w="6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i w:val="0"/>
                <w:color w:val="000000"/>
                <w:sz w:val="20"/>
                <w:szCs w:val="20"/>
                <w:u w:val="none"/>
              </w:rPr>
            </w:pPr>
          </w:p>
        </w:tc>
        <w:tc>
          <w:tcPr>
            <w:tcW w:w="21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i w:val="0"/>
                <w:color w:val="000000"/>
                <w:sz w:val="20"/>
                <w:szCs w:val="20"/>
                <w:u w:val="none"/>
              </w:rPr>
            </w:pPr>
          </w:p>
        </w:tc>
        <w:tc>
          <w:tcPr>
            <w:tcW w:w="38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i w:val="0"/>
                <w:color w:val="000000"/>
                <w:sz w:val="20"/>
                <w:szCs w:val="20"/>
                <w:u w:val="none"/>
              </w:rPr>
            </w:pPr>
          </w:p>
        </w:tc>
        <w:tc>
          <w:tcPr>
            <w:tcW w:w="1309"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黑体" w:hAnsi="宋体" w:eastAsia="黑体" w:cs="黑体"/>
                <w:b/>
                <w:i w:val="0"/>
                <w:color w:val="000000"/>
                <w:sz w:val="20"/>
                <w:szCs w:val="20"/>
                <w:u w:val="none"/>
              </w:rPr>
            </w:pPr>
          </w:p>
        </w:tc>
        <w:tc>
          <w:tcPr>
            <w:tcW w:w="810" w:type="dxa"/>
            <w:tcBorders>
              <w:top w:val="nil"/>
              <w:left w:val="single" w:color="000000" w:sz="4" w:space="0"/>
              <w:bottom w:val="nil"/>
              <w:right w:val="nil"/>
            </w:tcBorders>
            <w:noWrap w:val="0"/>
            <w:vAlign w:val="center"/>
          </w:tcPr>
          <w:p>
            <w:pPr>
              <w:rPr>
                <w:rFonts w:hint="eastAsia" w:ascii="黑体" w:hAnsi="宋体" w:eastAsia="黑体" w:cs="黑体"/>
                <w:b/>
                <w:i w:val="0"/>
                <w:color w:val="000000"/>
                <w:sz w:val="20"/>
                <w:szCs w:val="20"/>
                <w:u w:val="none"/>
              </w:rPr>
            </w:pPr>
          </w:p>
        </w:tc>
        <w:tc>
          <w:tcPr>
            <w:tcW w:w="7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未动工</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土地面积</w:t>
            </w:r>
          </w:p>
        </w:tc>
        <w:tc>
          <w:tcPr>
            <w:tcW w:w="8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已动工未竣工土地面积</w:t>
            </w:r>
          </w:p>
        </w:tc>
        <w:tc>
          <w:tcPr>
            <w:tcW w:w="16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i w:val="0"/>
                <w:color w:val="000000"/>
                <w:sz w:val="20"/>
                <w:szCs w:val="20"/>
                <w:u w:val="none"/>
              </w:rPr>
            </w:pPr>
          </w:p>
        </w:tc>
        <w:tc>
          <w:tcPr>
            <w:tcW w:w="930" w:type="dxa"/>
            <w:vMerge w:val="continue"/>
            <w:tcBorders>
              <w:top w:val="single" w:color="000000" w:sz="4" w:space="0"/>
              <w:left w:val="nil"/>
              <w:bottom w:val="single" w:color="000000" w:sz="4" w:space="0"/>
              <w:right w:val="nil"/>
            </w:tcBorders>
            <w:noWrap w:val="0"/>
            <w:vAlign w:val="center"/>
          </w:tcPr>
          <w:p>
            <w:pPr>
              <w:jc w:val="center"/>
              <w:rPr>
                <w:rFonts w:hint="eastAsia" w:ascii="黑体" w:hAnsi="宋体" w:eastAsia="黑体" w:cs="黑体"/>
                <w:b/>
                <w:i w:val="0"/>
                <w:color w:val="000000"/>
                <w:sz w:val="20"/>
                <w:szCs w:val="20"/>
                <w:u w:val="none"/>
              </w:rPr>
            </w:pPr>
          </w:p>
        </w:tc>
        <w:tc>
          <w:tcPr>
            <w:tcW w:w="1170"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黑体" w:hAnsi="宋体" w:eastAsia="黑体" w:cs="黑体"/>
                <w:b/>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（2）</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（3）</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（5）</w:t>
            </w:r>
          </w:p>
        </w:tc>
        <w:tc>
          <w:tcPr>
            <w:tcW w:w="81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（6）</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（7）</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（8）</w:t>
            </w:r>
          </w:p>
        </w:tc>
        <w:tc>
          <w:tcPr>
            <w:tcW w:w="162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（10）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16"/>
                <w:szCs w:val="16"/>
                <w:u w:val="none"/>
              </w:rPr>
            </w:pPr>
            <w:r>
              <w:rPr>
                <w:rFonts w:hint="eastAsia" w:ascii="黑体" w:hAnsi="宋体" w:eastAsia="黑体" w:cs="黑体"/>
                <w:b/>
                <w:i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福门凤凰城房地产开发有限公司御府建设项目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白银区纺织路街道银西生态产业园</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3.57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3.57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部分房屋已预售</w:t>
            </w:r>
          </w:p>
        </w:tc>
        <w:tc>
          <w:tcPr>
            <w:tcW w:w="9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3.57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华瀚国际人民路北片区建设项目（二片区）</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人民路北段东西两侧、友好路以南、白银市第一人民医院以北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1.17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1.17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部分房屋已预售</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0.17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02-03-040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华瀚国际（人民路北片区）城市棚户区改造（三片区）</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人民路北段东西两侧、友好路以南、白银市第一人民医院以北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1.79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1.79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部分房屋已预售</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0.79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0203041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云锦东方建设项目（地块二）</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白银银西产业园，东至体育场西路，南至空地，西至综合体经一路，北至空地</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6.74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6.74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部分房屋已预售</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1.68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5.06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云锦东方建设项目（地块一）</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白银银西产业园，东至体育场西路，南至主一路，西至综合体经一路，北至空地</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5.81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5.81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5.81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皓月花园住宅一期</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银西产业园综合体纬一路以南、次二路以西</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0.45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0.45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0.45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皓月花园二期项目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白银城区银西产业园综合体纬一路以南、次二路（扬州路）以西</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1.91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1.91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104片区棚户区改造项目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白银城区长通电缆厂以东、建设西路以南、白银有色金属公司以西、长通集团家属院以北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3.72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3.72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3.72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0204066、0204067、0204068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白银凤凰名都小区棚户区改造工程项目三期（地块一）</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白银城区人民路以东，红星路以北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1.08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1.08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1.08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0306019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白银凤凰名都小区棚户区改造工程项目三期（地块二）</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白银城区人民路以东，红星路以北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0.84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0.84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0.84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0306016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白银市银光公司棚户区改造（银光名座）建设项目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白银城区银光路以东、新怡路以南、南环路以北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0.84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0.84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0.84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0520058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白银市银光公司棚户区改造（银光名座）建设项目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白银城区银光路以东、新悦路以南、新育路以西、部分新怡路以北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1.93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1.93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1.93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0520059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福门凤凰城房地产开发有限公司</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东方绿洲项目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白银银西产业园，东至综合体经一路，南至主一路，西至荒山，北至综合体纬一路。</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3.94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3.94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3.94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福门住宅建设项目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白银城区规划纵二路以东、云鼎官邸项目以南、福门·华府世家五期以西、福门·华府世家五期以北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0.49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0.49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0.49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0103067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甘肃荣信电材科技有限公司申请0103068号部分地块挂牌出让项目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白银区滨河东路以东，建设西路以南，规划纵二路以西，白银鑫昊工贸有限公司以北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0.81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0.81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0.81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0103068号部分地块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锦绣春风建设项目（地块一）</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白银银西产业园，东至次二路综合体段，南至空地，西至空地，北至次二路。</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3.20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3.20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锦绣春风建设项目（地块二）</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白银银西产业园，东至次二路综合体段，南至主三路，西至空地，北至空地。</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4.59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4.59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锦绣东方建设项目（地块一）</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东至空地，南至空地，西至综合体经三路，北至创业4号路延伸段</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6.74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6.74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6.74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锦绣东方建设项目（地块二）</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白银银西产业园，东至空地，南至空地，西至综合体经三路，北至空地</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6.62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6.62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6.62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锦绣东方建设项目（地块三）</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白银银西产业园，东至综合体经二路，南至空地，西至空地，北至创业4号路延伸段。</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3.29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3.29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锦绣东方建设项目（地块四）</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白银银西产业园，东至空地，南至主三路，西至次二路综合体段，北至空地。</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5.67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5.67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锦绣兰庭建设项目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白银银西产业园，东至综合体经三路，南至空地，西至空地，北至创业四号路</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2.00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2.00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GB00166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青年城邦建设项目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白银银西产业园，空地以北、次四路以南、次一路以西、空地以东</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4.35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4.35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4.35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0801190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唐道文化旅游生态城建设项目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(地块1）</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白银城区诚信大道以东、郑州路以南、兰州路以西、兰包路以北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4.35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4.35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4.35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0108059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唐道文化旅游生态城建设项目</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(地块2）</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白银城区诚信大道以东、郑州路以南、兰州路以西、兰包路以北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4.47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4.47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4.47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0108060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希望城建设项目(地块1）</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白银银西产业园，次四路以北、主五路以南、次一路以西、空地以东</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5.04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5.04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0801184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希望城建设项目(地块2）</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白银银西产业园，空地以北、主五路以南、空地以西、空地以东</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6.11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6.11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0801185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希望城建设项目(地块3）</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白银银西产业园，次四路以北、空地以南、空地以西、空地以东</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6.30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6.30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0801186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希望城建设项目(地块4）</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白银银西产业园，次四路以北、主五路以南、主二路以西、空地以东</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6.31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6.31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0801187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白银区</w:t>
            </w:r>
          </w:p>
        </w:tc>
        <w:tc>
          <w:tcPr>
            <w:tcW w:w="2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白银区星河湾住宅小区项目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白银城区兰包路以北、郑州路以南、诚信大道以西、大连路以东</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4.00 </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4.00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4.00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0104090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73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白银区小计</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108.11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39.23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68.88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3.68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65.21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忠恒桃花源1期</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平川区盘旋路片区规划9#路西侧、规划10#路东侧、规划8#路北侧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5.95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5.95</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1.34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4.61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2019</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忠恒桃花源2期</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平川区盘旋路片区规划8#路南侧、规划9#路西侧、规划10#路东侧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7.00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6.999</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4.76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2.24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2019</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忠恒桃花源3期</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平川区复兴路南侧、规划9#路西侧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4.36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4.36</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0.80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3.56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2019</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水沟沿片区棚户区改造</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向阳路北侧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2.38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2.38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0.50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1.88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2019</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颐景园四期</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平川区盘旋路片区王家山路南侧、兴平北路东侧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2.63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2.63</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0.70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1.93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2019</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金地花园棚户区改造</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长征西路南侧、自然资源局平川分局西侧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0.70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0.7</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0.25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0.45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2019</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八十三小镇建设项目</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平川区大水头片区化工路东侧、桥东路北侧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1.48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0.00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1.48</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已动工未竣工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0.57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0.91 </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2019</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6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冷库片区棚户区改造</w:t>
            </w:r>
          </w:p>
        </w:tc>
        <w:tc>
          <w:tcPr>
            <w:tcW w:w="3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平川盘旋路片区规划平唐路南侧，规划5号路东侧，共和路北侧</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普通商品房</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11.46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 xml:space="preserve">11.46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0</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未动工</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平川区</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2020</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873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平川区小计</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35.96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11.46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24.50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8.92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15.58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873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市本级合计</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144.07 </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50.69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93.38 </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12.60 </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 xml:space="preserve">80.79 </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4" w:hRule="atLeast"/>
          <w:jc w:val="center"/>
        </w:trPr>
        <w:tc>
          <w:tcPr>
            <w:tcW w:w="16282"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填表说明：</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1.关于（4）住宅类型：应选择填写“普通商品房”“租赁型商品房”“共有产权房”“公租房”。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2.关于（8）建设状态：应选择填写“未动工”“已动工未竣工”“已动工未竣工部分房屋已预售”。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关于（10）未销售房屋土地面积：此项只针对“已动工未竣工”的项目，指已动工未竣工地块中尚未取得销售许可和预售许可的房屋建筑所对应的地块面积，“未动工”项目不需填写。核算方法为：设该地块总面积为S，其出让合同中约定的容积率为R，已核发销售许可的建筑面积为A，则未纳入房屋销售的土地面积=S-A/R。其中A的具体数值应根据相关部门依法核定的证载面积确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4.各表项数量关系：（6）=（7）+（8）。（6）≥（10）+（11）</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color w:val="auto"/>
          <w:kern w:val="2"/>
          <w:sz w:val="32"/>
          <w:szCs w:val="32"/>
          <w:highlight w:val="none"/>
          <w:lang w:val="en-US" w:eastAsia="zh-CN" w:bidi="ar-SA"/>
        </w:rPr>
      </w:pPr>
    </w:p>
    <w:p/>
    <w:sectPr>
      <w:pgSz w:w="16838" w:h="11906" w:orient="landscape"/>
      <w:pgMar w:top="1123" w:right="249" w:bottom="1123" w:left="306"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5ODQ3ZmI3NDM3MmIxZTkyOWY4MDE2MmI1ZTA0MjcifQ=="/>
  </w:docVars>
  <w:rsids>
    <w:rsidRoot w:val="115E17CB"/>
    <w:rsid w:val="115E1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2022-06-27T07:35:00Z</dcterms:created>
  <dc:creator>未央花开1389836004</dc:creator>
  <cp:lastModifiedBy>未央花开1389836004</cp:lastModifiedBy>
  <dcterms:modified xsi:type="dcterms:W3CDTF">2022-06-27T07:36:55Z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C077E9AB5C6B4D9CB139E91034F3BD1A</vt:lpwstr>
  </property>
</Properties>
</file>